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3E" w:rsidRPr="00F7033E" w:rsidRDefault="00F7033E" w:rsidP="00F7033E">
      <w:pPr>
        <w:rPr>
          <w:rFonts w:ascii="Calibri" w:hAnsi="Calibri" w:cs="TH Sarabun New"/>
          <w:b/>
          <w:bCs/>
          <w:sz w:val="22"/>
          <w:szCs w:val="22"/>
        </w:rPr>
      </w:pPr>
      <w:r w:rsidRPr="00F7033E">
        <w:rPr>
          <w:rFonts w:ascii="Calibri" w:hAnsi="Calibri" w:cs="TH Sarabun New"/>
          <w:b/>
          <w:bCs/>
          <w:sz w:val="22"/>
          <w:szCs w:val="22"/>
        </w:rPr>
        <w:t>Peer-reviewed international publications:</w:t>
      </w:r>
      <w:bookmarkStart w:id="0" w:name="_GoBack"/>
      <w:bookmarkEnd w:id="0"/>
    </w:p>
    <w:p w:rsidR="00F7033E" w:rsidRPr="00F7033E" w:rsidRDefault="00F7033E" w:rsidP="00F7033E">
      <w:pPr>
        <w:pStyle w:val="ListParagraph"/>
        <w:numPr>
          <w:ilvl w:val="0"/>
          <w:numId w:val="1"/>
        </w:numPr>
        <w:autoSpaceDE w:val="0"/>
        <w:autoSpaceDN w:val="0"/>
        <w:adjustRightInd w:val="0"/>
        <w:rPr>
          <w:rFonts w:ascii="Calibri" w:hAnsi="Calibri" w:cs="TH Sarabun New"/>
          <w:bCs/>
          <w:sz w:val="22"/>
          <w:szCs w:val="22"/>
        </w:rPr>
      </w:pPr>
      <w:r w:rsidRPr="00F7033E">
        <w:rPr>
          <w:rFonts w:ascii="Calibri" w:hAnsi="Calibri" w:cs="TH Sarabun New"/>
          <w:b/>
          <w:bCs/>
          <w:sz w:val="22"/>
          <w:szCs w:val="22"/>
        </w:rPr>
        <w:t>Pootakham W</w:t>
      </w:r>
      <w:r w:rsidRPr="00F7033E">
        <w:rPr>
          <w:rFonts w:ascii="Calibri" w:hAnsi="Calibri" w:cs="TH Sarabun New"/>
          <w:bCs/>
          <w:sz w:val="22"/>
          <w:szCs w:val="22"/>
        </w:rPr>
        <w:t xml:space="preserve">*, Mhuantong W, Putchim L, Yoocha T, Sonthirod C, Kongkachana W, Sangsrakru D, Naktang C, Jomchai N, Thongtham N, Tangphatsornruang S. (2018) Dynamics of coral-associated microbiomes during a thermal bleaching event. MicrobiologyOpen. In press. </w:t>
      </w:r>
    </w:p>
    <w:p w:rsidR="00F7033E" w:rsidRPr="00F7033E" w:rsidRDefault="00F7033E" w:rsidP="00F7033E">
      <w:pPr>
        <w:pStyle w:val="ListParagraph"/>
        <w:numPr>
          <w:ilvl w:val="0"/>
          <w:numId w:val="1"/>
        </w:numPr>
        <w:autoSpaceDE w:val="0"/>
        <w:autoSpaceDN w:val="0"/>
        <w:adjustRightInd w:val="0"/>
        <w:rPr>
          <w:rFonts w:ascii="Calibri" w:hAnsi="Calibri" w:cs="TH Sarabun New"/>
          <w:bCs/>
          <w:sz w:val="22"/>
          <w:szCs w:val="22"/>
        </w:rPr>
      </w:pPr>
      <w:r w:rsidRPr="00F7033E">
        <w:rPr>
          <w:rFonts w:ascii="Calibri" w:hAnsi="Calibri" w:cs="TH Sarabun New"/>
          <w:bCs/>
          <w:sz w:val="22"/>
          <w:szCs w:val="22"/>
        </w:rPr>
        <w:t xml:space="preserve">Wanlayaporn K, Somyong S, </w:t>
      </w:r>
      <w:r w:rsidRPr="00F7033E">
        <w:rPr>
          <w:rFonts w:ascii="Calibri" w:hAnsi="Calibri" w:cs="TH Sarabun New"/>
          <w:b/>
          <w:bCs/>
          <w:sz w:val="22"/>
          <w:szCs w:val="22"/>
        </w:rPr>
        <w:t>Pootakham W</w:t>
      </w:r>
      <w:r w:rsidRPr="00F7033E">
        <w:rPr>
          <w:rFonts w:ascii="Calibri" w:hAnsi="Calibri" w:cs="TH Sarabun New"/>
          <w:bCs/>
          <w:sz w:val="22"/>
          <w:szCs w:val="22"/>
        </w:rPr>
        <w:t xml:space="preserve">, Shearman J, Vanavichit A, Kumur P, Chee PW, Tragoonrung S. (2018) QTL mapping of pericarp thickness in immature and mature stages in Thai tropical sweet corn (Zea mays var. saccharata). Chiang Mai Journal of Science, 45 (1), pp. 177-187. </w:t>
      </w:r>
    </w:p>
    <w:p w:rsidR="00F7033E" w:rsidRPr="00F7033E" w:rsidRDefault="00F7033E" w:rsidP="00F7033E">
      <w:pPr>
        <w:pStyle w:val="ListParagraph"/>
        <w:numPr>
          <w:ilvl w:val="0"/>
          <w:numId w:val="1"/>
        </w:numPr>
        <w:autoSpaceDE w:val="0"/>
        <w:autoSpaceDN w:val="0"/>
        <w:adjustRightInd w:val="0"/>
        <w:rPr>
          <w:rFonts w:ascii="Calibri" w:hAnsi="Calibri" w:cs="TH Sarabun New"/>
          <w:bCs/>
          <w:sz w:val="22"/>
          <w:szCs w:val="22"/>
        </w:rPr>
      </w:pPr>
      <w:r w:rsidRPr="00F7033E">
        <w:rPr>
          <w:rFonts w:ascii="Calibri" w:hAnsi="Calibri" w:cs="TH Sarabun New"/>
          <w:b/>
          <w:bCs/>
          <w:sz w:val="22"/>
          <w:szCs w:val="22"/>
          <w:lang w:val="en-AU"/>
        </w:rPr>
        <w:t>Pootakham W*</w:t>
      </w:r>
      <w:r w:rsidRPr="00F7033E">
        <w:rPr>
          <w:rFonts w:ascii="Calibri" w:hAnsi="Calibri" w:cs="TH Sarabun New"/>
          <w:bCs/>
          <w:sz w:val="22"/>
          <w:szCs w:val="22"/>
          <w:lang w:val="en-AU"/>
        </w:rPr>
        <w:t xml:space="preserve">, Mhuantong W, Yoocha T, Putchim L, Sonthirod C, Naktang C, Thongtham N, Tangphatsornruang S. (2017) High resolution profiling of coral-associated bacterial communities using full-length 16S rRNA sequence data from PacBio SMRT sequencing system. Scientific Reports, 7, Article number: 2774. </w:t>
      </w:r>
      <w:proofErr w:type="gramStart"/>
      <w:r w:rsidRPr="00F7033E">
        <w:rPr>
          <w:rFonts w:ascii="Calibri" w:hAnsi="Calibri" w:cs="TH Sarabun New"/>
          <w:bCs/>
          <w:sz w:val="22"/>
          <w:szCs w:val="22"/>
          <w:lang w:val="en-AU"/>
        </w:rPr>
        <w:t>doi10.1038</w:t>
      </w:r>
      <w:proofErr w:type="gramEnd"/>
      <w:r w:rsidRPr="00F7033E">
        <w:rPr>
          <w:rFonts w:ascii="Calibri" w:hAnsi="Calibri" w:cs="TH Sarabun New"/>
          <w:bCs/>
          <w:sz w:val="22"/>
          <w:szCs w:val="22"/>
          <w:lang w:val="en-AU"/>
        </w:rPr>
        <w:t>/s41598-017-03139-4.</w:t>
      </w:r>
    </w:p>
    <w:p w:rsidR="00F7033E" w:rsidRPr="00F7033E" w:rsidRDefault="00F7033E" w:rsidP="00F7033E">
      <w:pPr>
        <w:pStyle w:val="ListParagraph"/>
        <w:numPr>
          <w:ilvl w:val="0"/>
          <w:numId w:val="1"/>
        </w:numPr>
        <w:autoSpaceDE w:val="0"/>
        <w:autoSpaceDN w:val="0"/>
        <w:adjustRightInd w:val="0"/>
        <w:rPr>
          <w:rFonts w:ascii="Calibri" w:hAnsi="Calibri" w:cs="TH Sarabun New"/>
          <w:bCs/>
          <w:sz w:val="22"/>
          <w:szCs w:val="22"/>
        </w:rPr>
      </w:pPr>
      <w:r w:rsidRPr="00F7033E">
        <w:rPr>
          <w:rFonts w:ascii="Calibri" w:hAnsi="Calibri" w:cs="TH Sarabun New"/>
          <w:b/>
          <w:bCs/>
          <w:sz w:val="22"/>
          <w:szCs w:val="22"/>
        </w:rPr>
        <w:t xml:space="preserve">Pootakham W, </w:t>
      </w:r>
      <w:r w:rsidRPr="00F7033E">
        <w:rPr>
          <w:rFonts w:ascii="Calibri" w:hAnsi="Calibri" w:cs="TH Sarabun New"/>
          <w:bCs/>
          <w:sz w:val="22"/>
          <w:szCs w:val="22"/>
        </w:rPr>
        <w:t xml:space="preserve">Sonthirod C, Naktang C, Ruang-Areerat P, Yoocha T, Sangsrakru D, Teerawattanasuk K, Rattanawong R, Lekawipat N, Tangphatsornruang S. (2017) </w:t>
      </w:r>
      <w:r w:rsidRPr="00F7033E">
        <w:rPr>
          <w:rFonts w:ascii="Calibri" w:hAnsi="Calibri" w:cs="TH Sarabun New"/>
          <w:bCs/>
          <w:i/>
          <w:sz w:val="22"/>
          <w:szCs w:val="22"/>
        </w:rPr>
        <w:t xml:space="preserve">De novo </w:t>
      </w:r>
      <w:r w:rsidRPr="00F7033E">
        <w:rPr>
          <w:rFonts w:ascii="Calibri" w:hAnsi="Calibri" w:cs="TH Sarabun New"/>
          <w:bCs/>
          <w:sz w:val="22"/>
          <w:szCs w:val="22"/>
        </w:rPr>
        <w:t xml:space="preserve">hybrid assembly of the rubber tree genome reveals evidence of paleotetraploidy in </w:t>
      </w:r>
      <w:r w:rsidRPr="00F7033E">
        <w:rPr>
          <w:rFonts w:ascii="Calibri" w:hAnsi="Calibri" w:cs="TH Sarabun New"/>
          <w:bCs/>
          <w:i/>
          <w:sz w:val="22"/>
          <w:szCs w:val="22"/>
        </w:rPr>
        <w:t xml:space="preserve">Hevea </w:t>
      </w:r>
      <w:r w:rsidRPr="00F7033E">
        <w:rPr>
          <w:rFonts w:ascii="Calibri" w:hAnsi="Calibri" w:cs="TH Sarabun New"/>
          <w:bCs/>
          <w:sz w:val="22"/>
          <w:szCs w:val="22"/>
        </w:rPr>
        <w:t>species.</w:t>
      </w:r>
      <w:r w:rsidRPr="00F7033E">
        <w:rPr>
          <w:rFonts w:ascii="Calibri" w:hAnsi="Calibri" w:cs="TH Sarabun New"/>
          <w:b/>
          <w:bCs/>
          <w:sz w:val="22"/>
          <w:szCs w:val="22"/>
        </w:rPr>
        <w:t xml:space="preserve"> </w:t>
      </w:r>
      <w:r w:rsidRPr="00F7033E">
        <w:rPr>
          <w:rFonts w:ascii="Calibri" w:hAnsi="Calibri" w:cs="TH Sarabun New"/>
          <w:bCs/>
          <w:sz w:val="22"/>
          <w:szCs w:val="22"/>
        </w:rPr>
        <w:t xml:space="preserve">Scientific Reports, 7, Article number: 41457. </w:t>
      </w:r>
      <w:proofErr w:type="gramStart"/>
      <w:r w:rsidRPr="00F7033E">
        <w:rPr>
          <w:rFonts w:ascii="Calibri" w:hAnsi="Calibri" w:cs="TH Sarabun New"/>
          <w:bCs/>
          <w:sz w:val="22"/>
          <w:szCs w:val="22"/>
        </w:rPr>
        <w:t>doi10.1038</w:t>
      </w:r>
      <w:proofErr w:type="gramEnd"/>
      <w:r w:rsidRPr="00F7033E">
        <w:rPr>
          <w:rFonts w:ascii="Calibri" w:hAnsi="Calibri" w:cs="TH Sarabun New"/>
          <w:bCs/>
          <w:sz w:val="22"/>
          <w:szCs w:val="22"/>
        </w:rPr>
        <w:t>/srep41457.</w:t>
      </w:r>
    </w:p>
    <w:p w:rsidR="00F7033E" w:rsidRPr="00F7033E" w:rsidRDefault="00F7033E" w:rsidP="00F7033E">
      <w:pPr>
        <w:pStyle w:val="ListParagraph"/>
        <w:numPr>
          <w:ilvl w:val="0"/>
          <w:numId w:val="1"/>
        </w:numPr>
        <w:autoSpaceDE w:val="0"/>
        <w:autoSpaceDN w:val="0"/>
        <w:adjustRightInd w:val="0"/>
        <w:rPr>
          <w:rFonts w:ascii="Calibri" w:hAnsi="Calibri" w:cs="TH Sarabun New"/>
          <w:bCs/>
          <w:sz w:val="22"/>
          <w:szCs w:val="22"/>
        </w:rPr>
      </w:pPr>
      <w:r w:rsidRPr="00F7033E">
        <w:rPr>
          <w:rFonts w:ascii="Calibri" w:hAnsi="Calibri" w:cs="TH Sarabun New"/>
          <w:b/>
          <w:bCs/>
          <w:sz w:val="22"/>
          <w:szCs w:val="22"/>
        </w:rPr>
        <w:t xml:space="preserve">Pootakham W, </w:t>
      </w:r>
      <w:r w:rsidRPr="00F7033E">
        <w:rPr>
          <w:rFonts w:ascii="Calibri" w:hAnsi="Calibri" w:cs="TH Sarabun New"/>
          <w:bCs/>
          <w:sz w:val="22"/>
          <w:szCs w:val="22"/>
        </w:rPr>
        <w:t>Sonthirod C, Naktang C, Nukoon J, Sangsrakru D, Tangphatsornruang S. (2016) Effects of methylation-sensitive enzymes on the enrichment of genic SNPs and the degree of genome complexity reduction in a two-enzyme genotyping-by-sequencing (GBS) approach: a case study in oil palm (</w:t>
      </w:r>
      <w:r w:rsidRPr="00F7033E">
        <w:rPr>
          <w:rFonts w:ascii="Calibri" w:hAnsi="Calibri" w:cs="TH Sarabun New"/>
          <w:bCs/>
          <w:i/>
          <w:sz w:val="22"/>
          <w:szCs w:val="22"/>
        </w:rPr>
        <w:t>Elaeis guineensis</w:t>
      </w:r>
      <w:r w:rsidRPr="00F7033E">
        <w:rPr>
          <w:rFonts w:ascii="Calibri" w:hAnsi="Calibri" w:cs="TH Sarabun New"/>
          <w:bCs/>
          <w:sz w:val="22"/>
          <w:szCs w:val="22"/>
        </w:rPr>
        <w:t>).</w:t>
      </w:r>
      <w:r w:rsidRPr="00F7033E">
        <w:rPr>
          <w:rFonts w:ascii="Calibri" w:hAnsi="Calibri" w:cs="TH Sarabun New"/>
          <w:b/>
          <w:bCs/>
          <w:sz w:val="22"/>
          <w:szCs w:val="22"/>
        </w:rPr>
        <w:t xml:space="preserve"> </w:t>
      </w:r>
      <w:r w:rsidRPr="00F7033E">
        <w:rPr>
          <w:rFonts w:ascii="Calibri" w:hAnsi="Calibri" w:cs="TH Sarabun New"/>
          <w:bCs/>
          <w:sz w:val="22"/>
          <w:szCs w:val="22"/>
        </w:rPr>
        <w:t xml:space="preserve">Mol Breeding. 36:154. </w:t>
      </w:r>
      <w:proofErr w:type="gramStart"/>
      <w:r w:rsidRPr="00F7033E">
        <w:rPr>
          <w:rFonts w:ascii="Calibri" w:hAnsi="Calibri" w:cs="TH Sarabun New"/>
          <w:bCs/>
          <w:sz w:val="22"/>
          <w:szCs w:val="22"/>
        </w:rPr>
        <w:t>doi</w:t>
      </w:r>
      <w:proofErr w:type="gramEnd"/>
      <w:r w:rsidRPr="00F7033E">
        <w:rPr>
          <w:rFonts w:ascii="Calibri" w:hAnsi="Calibri" w:cs="TH Sarabun New"/>
          <w:bCs/>
          <w:sz w:val="22"/>
          <w:szCs w:val="22"/>
        </w:rPr>
        <w:t xml:space="preserve">: 10.1007/s11032-016-0572-x. </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Cs/>
          <w:sz w:val="22"/>
          <w:szCs w:val="22"/>
        </w:rPr>
      </w:pPr>
      <w:r w:rsidRPr="00F7033E">
        <w:rPr>
          <w:rFonts w:ascii="Calibri" w:hAnsi="Calibri" w:cs="TH Sarabun New"/>
          <w:bCs/>
          <w:sz w:val="22"/>
          <w:szCs w:val="22"/>
        </w:rPr>
        <w:t xml:space="preserve">Shearman, JR, Sonthirod, C, Naktang, C, </w:t>
      </w:r>
      <w:r w:rsidRPr="00F7033E">
        <w:rPr>
          <w:rFonts w:ascii="Calibri" w:hAnsi="Calibri" w:cs="TH Sarabun New"/>
          <w:b/>
          <w:bCs/>
          <w:sz w:val="22"/>
          <w:szCs w:val="22"/>
        </w:rPr>
        <w:t>Pootakham, W</w:t>
      </w:r>
      <w:r w:rsidRPr="00F7033E">
        <w:rPr>
          <w:rFonts w:ascii="Calibri" w:hAnsi="Calibri" w:cs="TH Sarabun New"/>
          <w:bCs/>
          <w:sz w:val="22"/>
          <w:szCs w:val="22"/>
        </w:rPr>
        <w:t xml:space="preserve">, Yoocha, T, Sangsrakru, D, Jomchai, N, Tragoonrung, S, Tangphatsornruang, S. The two chromosomes of the mitochondrial genome of a sugarcane cultivar: Assembly and recombination analysis using long PacBio reads (2016) Scientific Reports, 6, Article number: 31533. </w:t>
      </w:r>
      <w:proofErr w:type="gramStart"/>
      <w:r w:rsidRPr="00F7033E">
        <w:rPr>
          <w:rFonts w:ascii="Calibri" w:hAnsi="Calibri" w:cs="TH Sarabun New"/>
          <w:bCs/>
          <w:sz w:val="22"/>
          <w:szCs w:val="22"/>
        </w:rPr>
        <w:t>doi:10.1038</w:t>
      </w:r>
      <w:proofErr w:type="gramEnd"/>
      <w:r w:rsidRPr="00F7033E">
        <w:rPr>
          <w:rFonts w:ascii="Calibri" w:hAnsi="Calibri" w:cs="TH Sarabun New"/>
          <w:bCs/>
          <w:sz w:val="22"/>
          <w:szCs w:val="22"/>
        </w:rPr>
        <w:t>/srep31533.</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Cs/>
          <w:sz w:val="22"/>
          <w:szCs w:val="22"/>
        </w:rPr>
      </w:pPr>
      <w:r w:rsidRPr="00F7033E">
        <w:rPr>
          <w:rFonts w:ascii="Calibri" w:hAnsi="Calibri" w:cs="TH Sarabun New"/>
          <w:bCs/>
          <w:sz w:val="22"/>
          <w:szCs w:val="22"/>
        </w:rPr>
        <w:t xml:space="preserve">Surat, W, Mhuantong, W, Sangsrakru, D, Chareonviriyaphap, T, Arunyawat, U, Kubera, A, Sittivicharpinyo, T, Siripan, O, </w:t>
      </w:r>
      <w:r w:rsidRPr="00F7033E">
        <w:rPr>
          <w:rFonts w:ascii="Calibri" w:hAnsi="Calibri" w:cs="TH Sarabun New"/>
          <w:b/>
          <w:bCs/>
          <w:sz w:val="22"/>
          <w:szCs w:val="22"/>
        </w:rPr>
        <w:t>Pootakham, W</w:t>
      </w:r>
      <w:r w:rsidRPr="00F7033E">
        <w:rPr>
          <w:rFonts w:ascii="Calibri" w:hAnsi="Calibri" w:cs="TH Sarabun New"/>
          <w:bCs/>
          <w:sz w:val="22"/>
          <w:szCs w:val="22"/>
        </w:rPr>
        <w:t>. Gut bacterial diversity in plasmodium-infected and plasmodium-uninfected anopheles minimus (2016) Chiang Mai Journal of Science, 43 (3), pp. 426-439.</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 xml:space="preserve">Pootakham W, </w:t>
      </w:r>
      <w:r w:rsidRPr="00F7033E">
        <w:rPr>
          <w:rFonts w:ascii="Calibri" w:hAnsi="Calibri" w:cs="TH Sarabun New"/>
          <w:bCs/>
          <w:sz w:val="22"/>
          <w:szCs w:val="22"/>
        </w:rPr>
        <w:t xml:space="preserve">Ruang Aree-rate P, Jomchai N, Sonthirod C, Sangsrakru D, Yoocha T, Theerawattanasuk K, Nirapathpongporn K, Romruensukharom P, Tragoonrung S, and Tangphatsornruang S. (2015) Construction of a high-density integrated genetic linkage map of rubber tree (Hevea brasiliensis) using genotyping-by-sequencing (GBS). Front. Plant Sci. 6:367. </w:t>
      </w:r>
      <w:proofErr w:type="gramStart"/>
      <w:r w:rsidRPr="00F7033E">
        <w:rPr>
          <w:rFonts w:ascii="Calibri" w:hAnsi="Calibri" w:cs="TH Sarabun New"/>
          <w:bCs/>
          <w:sz w:val="22"/>
          <w:szCs w:val="22"/>
        </w:rPr>
        <w:t>doi</w:t>
      </w:r>
      <w:proofErr w:type="gramEnd"/>
      <w:r w:rsidRPr="00F7033E">
        <w:rPr>
          <w:rFonts w:ascii="Calibri" w:hAnsi="Calibri" w:cs="TH Sarabun New"/>
          <w:bCs/>
          <w:sz w:val="22"/>
          <w:szCs w:val="22"/>
        </w:rPr>
        <w:t>: 10.3389/fpls.2015.00367</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 xml:space="preserve">Pootakham W, </w:t>
      </w:r>
      <w:r w:rsidRPr="00F7033E">
        <w:rPr>
          <w:rFonts w:ascii="Calibri" w:hAnsi="Calibri" w:cs="TH Sarabun New"/>
          <w:bCs/>
          <w:sz w:val="22"/>
          <w:szCs w:val="22"/>
        </w:rPr>
        <w:t xml:space="preserve">Jomchai N, Ruang Aree-rate P, Shearman J, Sonthirod C, Sangsrakru D, Tragoonrung S and Tangphatsornruang S. (2015) Genome-wide SNP discovery and identification of QTL associated with agronomic traits in oil palm using genotyping-by-sequencing (GBS). Genomics. 105:288-295. </w:t>
      </w:r>
      <w:proofErr w:type="gramStart"/>
      <w:r w:rsidRPr="00F7033E">
        <w:rPr>
          <w:rFonts w:ascii="Calibri" w:hAnsi="Calibri" w:cs="TH Sarabun New"/>
          <w:bCs/>
          <w:sz w:val="22"/>
          <w:szCs w:val="22"/>
        </w:rPr>
        <w:t>doi:10.1016</w:t>
      </w:r>
      <w:proofErr w:type="gramEnd"/>
      <w:r w:rsidRPr="00F7033E">
        <w:rPr>
          <w:rFonts w:ascii="Calibri" w:hAnsi="Calibri" w:cs="TH Sarabun New"/>
          <w:bCs/>
          <w:sz w:val="22"/>
          <w:szCs w:val="22"/>
        </w:rPr>
        <w:t>/j.ygeno.2015.02.002</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 xml:space="preserve">Pootakham W, </w:t>
      </w:r>
      <w:r w:rsidRPr="00F7033E">
        <w:rPr>
          <w:rFonts w:ascii="Calibri" w:hAnsi="Calibri" w:cs="TH Sarabun New"/>
          <w:bCs/>
          <w:sz w:val="22"/>
          <w:szCs w:val="22"/>
        </w:rPr>
        <w:t xml:space="preserve">Shearman J, Chanprasert J, Sangsrakru D, Jomchai N, Sonthirod C, Tragoonrung S and Tangphatsornruang S. (2014) Large-scale, genome-wide SNP discovery through RNA-seq and SNP genotyping by targeted enrichment sequencing in cassava. PlosOne. 9:e116028. </w:t>
      </w:r>
      <w:proofErr w:type="gramStart"/>
      <w:r w:rsidRPr="00F7033E">
        <w:rPr>
          <w:rFonts w:ascii="Calibri" w:hAnsi="Calibri" w:cs="TH Sarabun New"/>
          <w:bCs/>
          <w:sz w:val="22"/>
          <w:szCs w:val="22"/>
        </w:rPr>
        <w:t>doi</w:t>
      </w:r>
      <w:proofErr w:type="gramEnd"/>
      <w:r w:rsidRPr="00F7033E">
        <w:rPr>
          <w:rFonts w:ascii="Calibri" w:hAnsi="Calibri" w:cs="TH Sarabun New"/>
          <w:bCs/>
          <w:sz w:val="22"/>
          <w:szCs w:val="22"/>
        </w:rPr>
        <w:t>: 10.1371/journal.pone.0116028.</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Cs/>
          <w:sz w:val="22"/>
          <w:szCs w:val="22"/>
        </w:rPr>
        <w:t xml:space="preserve">Aksoy M, </w:t>
      </w:r>
      <w:r w:rsidRPr="00F7033E">
        <w:rPr>
          <w:rFonts w:ascii="Calibri" w:hAnsi="Calibri" w:cs="TH Sarabun New"/>
          <w:b/>
          <w:bCs/>
          <w:sz w:val="22"/>
          <w:szCs w:val="22"/>
        </w:rPr>
        <w:t xml:space="preserve">Pootakham W, </w:t>
      </w:r>
      <w:r w:rsidRPr="00F7033E">
        <w:rPr>
          <w:rFonts w:ascii="Calibri" w:hAnsi="Calibri" w:cs="TH Sarabun New"/>
          <w:bCs/>
          <w:sz w:val="22"/>
          <w:szCs w:val="22"/>
        </w:rPr>
        <w:t xml:space="preserve">and Grossman A. (2014) Critical function of a </w:t>
      </w:r>
      <w:r w:rsidRPr="00F7033E">
        <w:rPr>
          <w:rFonts w:ascii="Calibri" w:hAnsi="Calibri" w:cs="TH Sarabun New"/>
          <w:bCs/>
          <w:i/>
          <w:sz w:val="22"/>
          <w:szCs w:val="22"/>
        </w:rPr>
        <w:t>Chlamydomonas reinhardtii</w:t>
      </w:r>
      <w:r w:rsidRPr="00F7033E">
        <w:rPr>
          <w:rFonts w:ascii="Calibri" w:hAnsi="Calibri" w:cs="TH Sarabun New"/>
          <w:bCs/>
          <w:sz w:val="22"/>
          <w:szCs w:val="22"/>
        </w:rPr>
        <w:t xml:space="preserve"> putative polyphosphate polymerase subunit during nutrient deprivation. Plant Cell. 26:4214-4229. </w:t>
      </w:r>
      <w:proofErr w:type="gramStart"/>
      <w:r w:rsidRPr="00F7033E">
        <w:rPr>
          <w:rFonts w:ascii="Calibri" w:hAnsi="Calibri" w:cs="TH Sarabun New"/>
          <w:bCs/>
          <w:sz w:val="22"/>
          <w:szCs w:val="22"/>
        </w:rPr>
        <w:t>doi</w:t>
      </w:r>
      <w:proofErr w:type="gramEnd"/>
      <w:r w:rsidRPr="00F7033E">
        <w:rPr>
          <w:rFonts w:ascii="Calibri" w:hAnsi="Calibri" w:cs="TH Sarabun New"/>
          <w:bCs/>
          <w:sz w:val="22"/>
          <w:szCs w:val="22"/>
        </w:rPr>
        <w:t>: 10.1105/tpc.114.129270.</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Pootakham W</w:t>
      </w:r>
      <w:r w:rsidRPr="00F7033E">
        <w:rPr>
          <w:rFonts w:ascii="Calibri" w:hAnsi="Calibri" w:cs="TH Sarabun New"/>
          <w:sz w:val="22"/>
          <w:szCs w:val="22"/>
        </w:rPr>
        <w:t xml:space="preserve">, Uthaipaisanwong P, Sangsrakru D, Yoocha T, Tragoonrung S, and Tangphatsornruang S. (2013) Development and characterization of single-nucleotide </w:t>
      </w:r>
      <w:r w:rsidRPr="00F7033E">
        <w:rPr>
          <w:rFonts w:ascii="Calibri" w:hAnsi="Calibri" w:cs="TH Sarabun New"/>
          <w:sz w:val="22"/>
          <w:szCs w:val="22"/>
        </w:rPr>
        <w:lastRenderedPageBreak/>
        <w:t>polymorphism markers from 454 transcriptome sequences in oil palm (</w:t>
      </w:r>
      <w:r w:rsidRPr="00F7033E">
        <w:rPr>
          <w:rFonts w:ascii="Calibri" w:hAnsi="Calibri" w:cs="TH Sarabun New"/>
          <w:i/>
          <w:iCs/>
          <w:sz w:val="22"/>
          <w:szCs w:val="22"/>
        </w:rPr>
        <w:t>Elaeis guineensis</w:t>
      </w:r>
      <w:r w:rsidRPr="00F7033E">
        <w:rPr>
          <w:rFonts w:ascii="Calibri" w:hAnsi="Calibri" w:cs="TH Sarabun New"/>
          <w:sz w:val="22"/>
          <w:szCs w:val="22"/>
        </w:rPr>
        <w:t xml:space="preserve">). Plant Breeding. 132:711-717. </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sz w:val="22"/>
          <w:szCs w:val="22"/>
        </w:rPr>
        <w:t xml:space="preserve">Aksoy M*, </w:t>
      </w:r>
      <w:r w:rsidRPr="00F7033E">
        <w:rPr>
          <w:rFonts w:ascii="Calibri" w:hAnsi="Calibri" w:cs="TH Sarabun New"/>
          <w:b/>
          <w:bCs/>
          <w:sz w:val="22"/>
          <w:szCs w:val="22"/>
        </w:rPr>
        <w:t>Pootakham W*</w:t>
      </w:r>
      <w:r w:rsidRPr="00F7033E">
        <w:rPr>
          <w:rFonts w:ascii="Calibri" w:hAnsi="Calibri" w:cs="TH Sarabun New"/>
          <w:sz w:val="22"/>
          <w:szCs w:val="22"/>
        </w:rPr>
        <w:t xml:space="preserve">, Pollock SV, Moseley JL, Gonzalez-Ballester D, and Grossman AR. (2013) Tiered regulation of sulfur starvation in </w:t>
      </w:r>
      <w:r w:rsidRPr="00F7033E">
        <w:rPr>
          <w:rFonts w:ascii="Calibri" w:hAnsi="Calibri" w:cs="TH Sarabun New"/>
          <w:i/>
          <w:iCs/>
          <w:sz w:val="22"/>
          <w:szCs w:val="22"/>
        </w:rPr>
        <w:t xml:space="preserve">Chlamydomonas reinhardtii </w:t>
      </w:r>
      <w:r w:rsidRPr="00F7033E">
        <w:rPr>
          <w:rFonts w:ascii="Calibri" w:hAnsi="Calibri" w:cs="TH Sarabun New"/>
          <w:sz w:val="22"/>
          <w:szCs w:val="22"/>
        </w:rPr>
        <w:t xml:space="preserve">and identification of an associated regulatory factor. Plant Physiol. 162:195-211. *These authors have equal contributions. </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Pootakham W</w:t>
      </w:r>
      <w:r w:rsidRPr="00F7033E">
        <w:rPr>
          <w:rFonts w:ascii="Calibri" w:hAnsi="Calibri" w:cs="TH Sarabun New"/>
          <w:sz w:val="22"/>
          <w:szCs w:val="22"/>
        </w:rPr>
        <w:t xml:space="preserve">, Chanprasert J, Jomchai N, Sangsrakru D, Yoocha T, Tragoonrung S, and Tangphatsornruang S. (2012) Development of genomic-derived simple sequence repeat markers in </w:t>
      </w:r>
      <w:r w:rsidRPr="00F7033E">
        <w:rPr>
          <w:rFonts w:ascii="Calibri" w:hAnsi="Calibri" w:cs="TH Sarabun New"/>
          <w:i/>
          <w:iCs/>
          <w:sz w:val="22"/>
          <w:szCs w:val="22"/>
        </w:rPr>
        <w:t xml:space="preserve">Hevea brasiliensis </w:t>
      </w:r>
      <w:r w:rsidRPr="00F7033E">
        <w:rPr>
          <w:rFonts w:ascii="Calibri" w:hAnsi="Calibri" w:cs="TH Sarabun New"/>
          <w:sz w:val="22"/>
          <w:szCs w:val="22"/>
        </w:rPr>
        <w:t xml:space="preserve">from 454 genome shotgun sequences. Plant Breeding. 131:555-562. </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Pootakham W</w:t>
      </w:r>
      <w:r w:rsidRPr="00F7033E">
        <w:rPr>
          <w:rFonts w:ascii="Calibri" w:hAnsi="Calibri" w:cs="TH Sarabun New"/>
          <w:sz w:val="22"/>
          <w:szCs w:val="22"/>
        </w:rPr>
        <w:t xml:space="preserve">, Chanprasert J, Jomchai N, Sangsrakru D, Yoocha T, Therawattanasuk K, and Tangphatsornruang S. (2011) Single nucleotide polymorphism marker development in rubber tree, </w:t>
      </w:r>
      <w:r w:rsidRPr="00F7033E">
        <w:rPr>
          <w:rFonts w:ascii="Calibri" w:hAnsi="Calibri" w:cs="TH Sarabun New"/>
          <w:i/>
          <w:iCs/>
          <w:sz w:val="22"/>
          <w:szCs w:val="22"/>
        </w:rPr>
        <w:t>Hevea brasiliensis</w:t>
      </w:r>
      <w:r w:rsidRPr="00F7033E">
        <w:rPr>
          <w:rFonts w:ascii="Calibri" w:hAnsi="Calibri" w:cs="TH Sarabun New"/>
          <w:sz w:val="22"/>
          <w:szCs w:val="22"/>
        </w:rPr>
        <w:t xml:space="preserve"> (</w:t>
      </w:r>
      <w:hyperlink r:id="rId6" w:history="1">
        <w:r w:rsidRPr="00F7033E">
          <w:rPr>
            <w:rStyle w:val="Hyperlink"/>
            <w:rFonts w:ascii="Calibri" w:hAnsi="Calibri" w:cs="TH Sarabun New"/>
            <w:color w:val="auto"/>
            <w:sz w:val="22"/>
            <w:szCs w:val="22"/>
            <w:u w:val="none"/>
          </w:rPr>
          <w:t>Euphorbiaceae</w:t>
        </w:r>
      </w:hyperlink>
      <w:r w:rsidRPr="00F7033E">
        <w:rPr>
          <w:rStyle w:val="Hyperlink"/>
          <w:rFonts w:ascii="Calibri" w:hAnsi="Calibri" w:cs="TH Sarabun New"/>
          <w:color w:val="auto"/>
          <w:sz w:val="22"/>
          <w:szCs w:val="22"/>
          <w:u w:val="none"/>
        </w:rPr>
        <w:t xml:space="preserve">). </w:t>
      </w:r>
      <w:proofErr w:type="gramStart"/>
      <w:r w:rsidRPr="00F7033E">
        <w:rPr>
          <w:rStyle w:val="Hyperlink"/>
          <w:rFonts w:ascii="Calibri" w:hAnsi="Calibri" w:cs="TH Sarabun New"/>
          <w:color w:val="auto"/>
          <w:sz w:val="22"/>
          <w:szCs w:val="22"/>
          <w:u w:val="none"/>
        </w:rPr>
        <w:t>Am</w:t>
      </w:r>
      <w:proofErr w:type="gramEnd"/>
      <w:r w:rsidRPr="00F7033E">
        <w:rPr>
          <w:rStyle w:val="Hyperlink"/>
          <w:rFonts w:ascii="Calibri" w:hAnsi="Calibri" w:cs="TH Sarabun New"/>
          <w:color w:val="auto"/>
          <w:sz w:val="22"/>
          <w:szCs w:val="22"/>
          <w:u w:val="none"/>
        </w:rPr>
        <w:t xml:space="preserve"> J Bot. 98:e337-338. </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sz w:val="22"/>
          <w:szCs w:val="22"/>
        </w:rPr>
        <w:t xml:space="preserve">Gonzalez-Ballester D, </w:t>
      </w:r>
      <w:r w:rsidRPr="00F7033E">
        <w:rPr>
          <w:rFonts w:ascii="Calibri" w:hAnsi="Calibri" w:cs="TH Sarabun New"/>
          <w:b/>
          <w:bCs/>
          <w:sz w:val="22"/>
          <w:szCs w:val="22"/>
        </w:rPr>
        <w:t>Pootakham W</w:t>
      </w:r>
      <w:r w:rsidRPr="00F7033E">
        <w:rPr>
          <w:rFonts w:ascii="Calibri" w:hAnsi="Calibri" w:cs="TH Sarabun New"/>
          <w:sz w:val="22"/>
          <w:szCs w:val="22"/>
        </w:rPr>
        <w:t>, Mus F, Yang W, Catalanotti C, Magneschi L, Higuera JJ, de Montaigu A, Prior M, Galván A, Fernandez E,</w:t>
      </w:r>
      <w:r w:rsidRPr="00F7033E">
        <w:rPr>
          <w:rFonts w:ascii="Calibri" w:hAnsi="Calibri" w:cs="TH Sarabun New"/>
          <w:b/>
          <w:bCs/>
          <w:sz w:val="22"/>
          <w:szCs w:val="22"/>
        </w:rPr>
        <w:t xml:space="preserve"> </w:t>
      </w:r>
      <w:r w:rsidRPr="00F7033E">
        <w:rPr>
          <w:rFonts w:ascii="Calibri" w:hAnsi="Calibri" w:cs="TH Sarabun New"/>
          <w:sz w:val="22"/>
          <w:szCs w:val="22"/>
        </w:rPr>
        <w:t>and Grossman AR. (2011) Reverse genetics in Chlamydomonas: a platform for isolating insertional mutants. Plant Methods. 7:24-36.</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b/>
          <w:bCs/>
          <w:sz w:val="22"/>
          <w:szCs w:val="22"/>
        </w:rPr>
        <w:t>Pootakham W</w:t>
      </w:r>
      <w:r w:rsidRPr="00F7033E">
        <w:rPr>
          <w:rFonts w:ascii="Calibri" w:hAnsi="Calibri" w:cs="TH Sarabun New"/>
          <w:sz w:val="22"/>
          <w:szCs w:val="22"/>
        </w:rPr>
        <w:t>, Gonzalez-Ballester D, and Grossman AR. (2010) Identification and regulation of plasma membrane sulfate transporters in Chlamydomonas</w:t>
      </w:r>
      <w:r w:rsidRPr="00F7033E">
        <w:rPr>
          <w:rFonts w:ascii="Calibri" w:hAnsi="Calibri" w:cs="TH Sarabun New"/>
          <w:i/>
          <w:iCs/>
          <w:sz w:val="22"/>
          <w:szCs w:val="22"/>
        </w:rPr>
        <w:t xml:space="preserve">. </w:t>
      </w:r>
      <w:r w:rsidRPr="00F7033E">
        <w:rPr>
          <w:rFonts w:ascii="Calibri" w:hAnsi="Calibri" w:cs="TH Sarabun New"/>
          <w:sz w:val="22"/>
          <w:szCs w:val="22"/>
        </w:rPr>
        <w:t xml:space="preserve">Plant Physiol. 153:1653-1668. </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sz w:val="22"/>
          <w:szCs w:val="22"/>
        </w:rPr>
        <w:t xml:space="preserve">Grossman AR, Gonzalez-Ballester D, Shibagaki N, </w:t>
      </w:r>
      <w:r w:rsidRPr="00F7033E">
        <w:rPr>
          <w:rFonts w:ascii="Calibri" w:hAnsi="Calibri" w:cs="TH Sarabun New"/>
          <w:b/>
          <w:bCs/>
          <w:sz w:val="22"/>
          <w:szCs w:val="22"/>
        </w:rPr>
        <w:t>Pootakham W</w:t>
      </w:r>
      <w:r w:rsidRPr="00F7033E">
        <w:rPr>
          <w:rFonts w:ascii="Calibri" w:hAnsi="Calibri" w:cs="TH Sarabun New"/>
          <w:sz w:val="22"/>
          <w:szCs w:val="22"/>
        </w:rPr>
        <w:t>, and Moseley JL. (2009) Chapter 15: Responses to macronutrient deprivation. Abiotic adaptation in plants: Physiological, molecular and genomic foundation. Pareek, A.; Sopory, S.K.; Bohnert, H.J.; Govindjee (Eds.)</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r w:rsidRPr="00F7033E">
        <w:rPr>
          <w:rFonts w:ascii="Calibri" w:hAnsi="Calibri" w:cs="TH Sarabun New"/>
          <w:sz w:val="22"/>
          <w:szCs w:val="22"/>
        </w:rPr>
        <w:t>Moseley</w:t>
      </w:r>
      <w:r w:rsidRPr="00F7033E">
        <w:rPr>
          <w:rFonts w:ascii="Calibri" w:hAnsi="Calibri" w:cs="TH Sarabun New"/>
          <w:sz w:val="22"/>
          <w:szCs w:val="22"/>
          <w:vertAlign w:val="superscript"/>
        </w:rPr>
        <w:t xml:space="preserve"> </w:t>
      </w:r>
      <w:r w:rsidRPr="00F7033E">
        <w:rPr>
          <w:rFonts w:ascii="Calibri" w:hAnsi="Calibri" w:cs="TH Sarabun New"/>
          <w:sz w:val="22"/>
          <w:szCs w:val="22"/>
        </w:rPr>
        <w:t xml:space="preserve">JL, </w:t>
      </w:r>
      <w:r w:rsidRPr="00F7033E">
        <w:rPr>
          <w:rFonts w:ascii="Calibri" w:hAnsi="Calibri" w:cs="TH Sarabun New"/>
          <w:b/>
          <w:bCs/>
          <w:sz w:val="22"/>
          <w:szCs w:val="22"/>
        </w:rPr>
        <w:t>Pootakham W</w:t>
      </w:r>
      <w:r w:rsidRPr="00F7033E">
        <w:rPr>
          <w:rFonts w:ascii="Calibri" w:hAnsi="Calibri" w:cs="TH Sarabun New"/>
          <w:sz w:val="22"/>
          <w:szCs w:val="22"/>
        </w:rPr>
        <w:t xml:space="preserve">, Gonzalez-Ballester D, Bailey S, and Grossman AR. (2008) Genetic interactions between regulators of the Chlamydomonas phosphorus and sulfur starvation responses. Genetics. 181:889-905. </w:t>
      </w:r>
    </w:p>
    <w:p w:rsidR="00F7033E" w:rsidRPr="00F7033E" w:rsidRDefault="00F7033E" w:rsidP="00F7033E">
      <w:pPr>
        <w:pStyle w:val="ListParagraph"/>
        <w:numPr>
          <w:ilvl w:val="0"/>
          <w:numId w:val="1"/>
        </w:numPr>
        <w:autoSpaceDE w:val="0"/>
        <w:autoSpaceDN w:val="0"/>
        <w:adjustRightInd w:val="0"/>
        <w:ind w:left="709"/>
        <w:rPr>
          <w:rStyle w:val="pages"/>
          <w:rFonts w:ascii="Calibri" w:hAnsi="Calibri" w:cs="TH Sarabun New"/>
          <w:b/>
          <w:bCs/>
          <w:sz w:val="22"/>
          <w:szCs w:val="22"/>
        </w:rPr>
      </w:pPr>
      <w:hyperlink r:id="rId7" w:history="1">
        <w:r w:rsidRPr="00F7033E">
          <w:rPr>
            <w:rStyle w:val="Hyperlink"/>
            <w:rFonts w:ascii="Calibri" w:hAnsi="Calibri" w:cs="TH Sarabun New"/>
            <w:color w:val="auto"/>
            <w:sz w:val="22"/>
            <w:szCs w:val="22"/>
            <w:u w:val="none"/>
          </w:rPr>
          <w:t xml:space="preserve">Gonzalez-Ballester D, Pollock SV, </w:t>
        </w:r>
        <w:r w:rsidRPr="00F7033E">
          <w:rPr>
            <w:rStyle w:val="Hyperlink"/>
            <w:rFonts w:ascii="Calibri" w:hAnsi="Calibri" w:cs="TH Sarabun New"/>
            <w:b/>
            <w:bCs/>
            <w:color w:val="auto"/>
            <w:sz w:val="22"/>
            <w:szCs w:val="22"/>
            <w:u w:val="none"/>
          </w:rPr>
          <w:t>Pootakham W</w:t>
        </w:r>
        <w:r w:rsidRPr="00F7033E">
          <w:rPr>
            <w:rStyle w:val="Hyperlink"/>
            <w:rFonts w:ascii="Calibri" w:hAnsi="Calibri" w:cs="TH Sarabun New"/>
            <w:color w:val="auto"/>
            <w:sz w:val="22"/>
            <w:szCs w:val="22"/>
            <w:u w:val="none"/>
          </w:rPr>
          <w:t>, and Grossman AR.</w:t>
        </w:r>
      </w:hyperlink>
      <w:r w:rsidRPr="00F7033E">
        <w:rPr>
          <w:rFonts w:ascii="Calibri" w:hAnsi="Calibri" w:cs="TH Sarabun New"/>
          <w:sz w:val="22"/>
          <w:szCs w:val="22"/>
        </w:rPr>
        <w:t xml:space="preserve"> (2008) The central role of a SNRK2 kinase in sulfur deprivation responses. Plant Physiol. </w:t>
      </w:r>
      <w:r w:rsidRPr="00F7033E">
        <w:rPr>
          <w:rStyle w:val="volume"/>
          <w:rFonts w:ascii="Calibri" w:hAnsi="Calibri" w:cs="TH Sarabun New"/>
          <w:sz w:val="22"/>
          <w:szCs w:val="22"/>
        </w:rPr>
        <w:t>147</w:t>
      </w:r>
      <w:r w:rsidRPr="00F7033E">
        <w:rPr>
          <w:rFonts w:ascii="Calibri" w:hAnsi="Calibri" w:cs="TH Sarabun New"/>
          <w:sz w:val="22"/>
          <w:szCs w:val="22"/>
        </w:rPr>
        <w:t>:</w:t>
      </w:r>
      <w:r w:rsidRPr="00F7033E">
        <w:rPr>
          <w:rStyle w:val="pages"/>
          <w:rFonts w:ascii="Calibri" w:hAnsi="Calibri" w:cs="TH Sarabun New"/>
          <w:sz w:val="22"/>
          <w:szCs w:val="22"/>
        </w:rPr>
        <w:t xml:space="preserve">216-227. </w:t>
      </w:r>
    </w:p>
    <w:p w:rsidR="00F7033E" w:rsidRPr="00F7033E" w:rsidRDefault="00F7033E" w:rsidP="00F7033E">
      <w:pPr>
        <w:pStyle w:val="ListParagraph"/>
        <w:numPr>
          <w:ilvl w:val="0"/>
          <w:numId w:val="1"/>
        </w:numPr>
        <w:autoSpaceDE w:val="0"/>
        <w:autoSpaceDN w:val="0"/>
        <w:adjustRightInd w:val="0"/>
        <w:ind w:left="709"/>
        <w:rPr>
          <w:rStyle w:val="pages"/>
          <w:rFonts w:ascii="Calibri" w:hAnsi="Calibri" w:cs="TH Sarabun New"/>
          <w:b/>
          <w:bCs/>
          <w:sz w:val="22"/>
          <w:szCs w:val="22"/>
        </w:rPr>
      </w:pPr>
      <w:hyperlink r:id="rId8" w:history="1">
        <w:r w:rsidRPr="00F7033E">
          <w:rPr>
            <w:rStyle w:val="Hyperlink"/>
            <w:rFonts w:ascii="Calibri" w:hAnsi="Calibri" w:cs="TH Sarabun New"/>
            <w:color w:val="auto"/>
            <w:sz w:val="22"/>
            <w:szCs w:val="22"/>
            <w:u w:val="none"/>
          </w:rPr>
          <w:t xml:space="preserve">Merchant SS, Prochnik SE, Vallon O, Harris EH, Karpowicz SJ, Witman GB, Terry A, Salamov A, Fritz-Laylin LK, Maréchal-Drouard L, Marshall WF, Qu LH, Nelson DR, Sanderfoot AA, Spalding MH, Kapitonov VV, Ren Q, Ferris P, Lindquist E, Shapiro H, Lucas SM, Grimwood J, Schmutz J, Cardol P, Cerutti H, Chanfreau G, Chen CL, Cognat V, Croft MT, Dent R, Dutcher S, Fernández E, Fukuzawa H, González-Ballester D, González-Halphen D, Hallmann A, Hanikenne M, Hippler M, Inwood W, Jabbari K, Kalanon M, Kuras R, Lefebvre PA, Lemaire SD, Lobanov AV, Lohr M, Manuell A, Meier I, Mets L, Mittag M, Mittelmeier T, Moroney JV, Moseley J, Napoli C, Nedelcu AM, Niyogi K, Novoselov SV, Paulsen IT, Pazour G, Purton S, Ral JP, Riaño-Pachón DM, Riekhof W, Rymarquis L, Schroda M, Stern D, Umen J, Willows R, Wilson N, Zimmer SL, Allmer J, Balk J, Bisova K, Chen CJ, Elias M, Gendler K, Hauser C, Lamb MR, Ledford H, Long JC, Minagawa J, Page MD, Pan J, </w:t>
        </w:r>
        <w:r w:rsidRPr="00F7033E">
          <w:rPr>
            <w:rStyle w:val="Hyperlink"/>
            <w:rFonts w:ascii="Calibri" w:hAnsi="Calibri" w:cs="TH Sarabun New"/>
            <w:b/>
            <w:bCs/>
            <w:color w:val="auto"/>
            <w:sz w:val="22"/>
            <w:szCs w:val="22"/>
            <w:u w:val="none"/>
          </w:rPr>
          <w:t>Pootakham W</w:t>
        </w:r>
        <w:r w:rsidRPr="00F7033E">
          <w:rPr>
            <w:rStyle w:val="Hyperlink"/>
            <w:rFonts w:ascii="Calibri" w:hAnsi="Calibri" w:cs="TH Sarabun New"/>
            <w:color w:val="auto"/>
            <w:sz w:val="22"/>
            <w:szCs w:val="22"/>
            <w:u w:val="none"/>
          </w:rPr>
          <w:t>, Roje S, Rose A, Stahlberg E, Terauchi AM, Yang P, Ball S, Bowler C, Dieckmann CL, Gladyshev VN, Green P, Jorgensen R, Mayfield S, Mueller-Roeber B, Rajamani S, Sayre RT, Brokstein P, Dubchak I, Goodstein D, Hornick L, Huang YW, Jhaveri J, Luo Y, Martínez D, Ngau WC, Otillar B, Poliakov A, Porter A, Szajkowski L, Werner G, Zhou K, Grigoriev IV, Rokhsar DS, and Grossman AR.</w:t>
        </w:r>
      </w:hyperlink>
      <w:r w:rsidRPr="00F7033E">
        <w:rPr>
          <w:rFonts w:ascii="Calibri" w:hAnsi="Calibri" w:cs="TH Sarabun New"/>
          <w:sz w:val="22"/>
          <w:szCs w:val="22"/>
        </w:rPr>
        <w:t xml:space="preserve"> (2007) The </w:t>
      </w:r>
      <w:r w:rsidRPr="00F7033E">
        <w:rPr>
          <w:rFonts w:ascii="Calibri" w:hAnsi="Calibri" w:cs="TH Sarabun New"/>
          <w:i/>
          <w:iCs/>
          <w:sz w:val="22"/>
          <w:szCs w:val="22"/>
        </w:rPr>
        <w:t xml:space="preserve">Chlamydomonas </w:t>
      </w:r>
      <w:r w:rsidRPr="00F7033E">
        <w:rPr>
          <w:rFonts w:ascii="Calibri" w:hAnsi="Calibri" w:cs="TH Sarabun New"/>
          <w:sz w:val="22"/>
          <w:szCs w:val="22"/>
        </w:rPr>
        <w:t xml:space="preserve">genome reveals the evolution of key animal and plant functions. Science. </w:t>
      </w:r>
      <w:r w:rsidRPr="00F7033E">
        <w:rPr>
          <w:rStyle w:val="volume"/>
          <w:rFonts w:ascii="Calibri" w:hAnsi="Calibri" w:cs="TH Sarabun New"/>
          <w:sz w:val="22"/>
          <w:szCs w:val="22"/>
        </w:rPr>
        <w:t>318</w:t>
      </w:r>
      <w:r w:rsidRPr="00F7033E">
        <w:rPr>
          <w:rFonts w:ascii="Calibri" w:hAnsi="Calibri" w:cs="TH Sarabun New"/>
          <w:sz w:val="22"/>
          <w:szCs w:val="22"/>
        </w:rPr>
        <w:t>:</w:t>
      </w:r>
      <w:r w:rsidRPr="00F7033E">
        <w:rPr>
          <w:rStyle w:val="pages"/>
          <w:rFonts w:ascii="Calibri" w:hAnsi="Calibri" w:cs="TH Sarabun New"/>
          <w:sz w:val="22"/>
          <w:szCs w:val="22"/>
        </w:rPr>
        <w:t>245-250.</w:t>
      </w:r>
    </w:p>
    <w:p w:rsidR="00F7033E" w:rsidRPr="00F7033E" w:rsidRDefault="00F7033E" w:rsidP="00F7033E">
      <w:pPr>
        <w:pStyle w:val="ListParagraph"/>
        <w:numPr>
          <w:ilvl w:val="0"/>
          <w:numId w:val="1"/>
        </w:numPr>
        <w:autoSpaceDE w:val="0"/>
        <w:autoSpaceDN w:val="0"/>
        <w:adjustRightInd w:val="0"/>
        <w:ind w:left="709"/>
        <w:rPr>
          <w:rFonts w:ascii="Calibri" w:hAnsi="Calibri" w:cs="TH Sarabun New"/>
          <w:b/>
          <w:bCs/>
          <w:sz w:val="22"/>
          <w:szCs w:val="22"/>
        </w:rPr>
      </w:pPr>
      <w:hyperlink r:id="rId9" w:history="1">
        <w:r w:rsidRPr="00F7033E">
          <w:rPr>
            <w:rStyle w:val="Hyperlink"/>
            <w:rFonts w:ascii="Calibri" w:hAnsi="Calibri" w:cs="TH Sarabun New"/>
            <w:color w:val="auto"/>
            <w:sz w:val="22"/>
            <w:szCs w:val="22"/>
            <w:u w:val="none"/>
          </w:rPr>
          <w:t xml:space="preserve">Pollock SV, </w:t>
        </w:r>
        <w:r w:rsidRPr="00F7033E">
          <w:rPr>
            <w:rStyle w:val="Hyperlink"/>
            <w:rFonts w:ascii="Calibri" w:hAnsi="Calibri" w:cs="TH Sarabun New"/>
            <w:b/>
            <w:bCs/>
            <w:color w:val="auto"/>
            <w:sz w:val="22"/>
            <w:szCs w:val="22"/>
            <w:u w:val="none"/>
          </w:rPr>
          <w:t>Pootakham W</w:t>
        </w:r>
        <w:r w:rsidRPr="00F7033E">
          <w:rPr>
            <w:rStyle w:val="Hyperlink"/>
            <w:rFonts w:ascii="Calibri" w:hAnsi="Calibri" w:cs="TH Sarabun New"/>
            <w:color w:val="auto"/>
            <w:sz w:val="22"/>
            <w:szCs w:val="22"/>
            <w:u w:val="none"/>
          </w:rPr>
          <w:t>, Shibagaki N, Moseley JL, Grossman AR.</w:t>
        </w:r>
      </w:hyperlink>
      <w:r w:rsidRPr="00F7033E">
        <w:rPr>
          <w:rFonts w:ascii="Calibri" w:hAnsi="Calibri" w:cs="TH Sarabun New"/>
          <w:sz w:val="22"/>
          <w:szCs w:val="22"/>
        </w:rPr>
        <w:t xml:space="preserve"> (2005) Insights into the acclimation of </w:t>
      </w:r>
      <w:r w:rsidRPr="00F7033E">
        <w:rPr>
          <w:rFonts w:ascii="Calibri" w:hAnsi="Calibri" w:cs="TH Sarabun New"/>
          <w:i/>
          <w:iCs/>
          <w:sz w:val="22"/>
          <w:szCs w:val="22"/>
        </w:rPr>
        <w:t xml:space="preserve">Chlamydomonas reinhardtii </w:t>
      </w:r>
      <w:r w:rsidRPr="00F7033E">
        <w:rPr>
          <w:rFonts w:ascii="Calibri" w:hAnsi="Calibri" w:cs="TH Sarabun New"/>
          <w:sz w:val="22"/>
          <w:szCs w:val="22"/>
        </w:rPr>
        <w:t xml:space="preserve">to sulfur deprivation. Photosyn Res. </w:t>
      </w:r>
      <w:r w:rsidRPr="00F7033E">
        <w:rPr>
          <w:rStyle w:val="volume"/>
          <w:rFonts w:ascii="Calibri" w:hAnsi="Calibri" w:cs="TH Sarabun New"/>
          <w:sz w:val="22"/>
          <w:szCs w:val="22"/>
        </w:rPr>
        <w:t>86</w:t>
      </w:r>
      <w:r w:rsidRPr="00F7033E">
        <w:rPr>
          <w:rFonts w:ascii="Calibri" w:hAnsi="Calibri" w:cs="TH Sarabun New"/>
          <w:sz w:val="22"/>
          <w:szCs w:val="22"/>
        </w:rPr>
        <w:t>:</w:t>
      </w:r>
      <w:r w:rsidRPr="00F7033E">
        <w:rPr>
          <w:rStyle w:val="pages"/>
          <w:rFonts w:ascii="Calibri" w:hAnsi="Calibri" w:cs="TH Sarabun New"/>
          <w:sz w:val="22"/>
          <w:szCs w:val="22"/>
        </w:rPr>
        <w:t xml:space="preserve">475-489. </w:t>
      </w:r>
    </w:p>
    <w:p w:rsidR="00986A97" w:rsidRPr="00F7033E" w:rsidRDefault="00986A97"/>
    <w:sectPr w:rsidR="00986A97" w:rsidRPr="00F7033E" w:rsidSect="008178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H Sarabun New">
    <w:panose1 w:val="020B0500040200020003"/>
    <w:charset w:val="00"/>
    <w:family w:val="auto"/>
    <w:pitch w:val="variable"/>
    <w:sig w:usb0="A100006F" w:usb1="5000205A" w:usb2="00000000" w:usb3="00000000" w:csb0="00010183" w:csb1="00000000"/>
  </w:font>
  <w:font w:name="ＭＳ 明朝">
    <w:charset w:val="4E"/>
    <w:family w:val="auto"/>
    <w:pitch w:val="variable"/>
    <w:sig w:usb0="E00002FF" w:usb1="6AC7FDFB" w:usb2="00000012" w:usb3="00000000" w:csb0="0002009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1E1"/>
    <w:multiLevelType w:val="hybridMultilevel"/>
    <w:tmpl w:val="FAE4A37C"/>
    <w:lvl w:ilvl="0" w:tplc="33D4B84C">
      <w:start w:val="1"/>
      <w:numFmt w:val="decimal"/>
      <w:lvlText w:val="%1."/>
      <w:lvlJc w:val="left"/>
      <w:pPr>
        <w:ind w:left="720" w:hanging="360"/>
      </w:pPr>
      <w:rPr>
        <w:rFonts w:ascii="Calibri" w:hAnsi="Calibri" w:cs="TH Sarabun New"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3E"/>
    <w:rsid w:val="008178E6"/>
    <w:rsid w:val="00986A97"/>
    <w:rsid w:val="00F7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328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33E"/>
    <w:rPr>
      <w:color w:val="0000FF"/>
      <w:u w:val="single"/>
    </w:rPr>
  </w:style>
  <w:style w:type="character" w:customStyle="1" w:styleId="volume">
    <w:name w:val="volume"/>
    <w:basedOn w:val="DefaultParagraphFont"/>
    <w:rsid w:val="00F7033E"/>
  </w:style>
  <w:style w:type="character" w:customStyle="1" w:styleId="pages">
    <w:name w:val="pages"/>
    <w:basedOn w:val="DefaultParagraphFont"/>
    <w:rsid w:val="00F7033E"/>
  </w:style>
  <w:style w:type="paragraph" w:styleId="ListParagraph">
    <w:name w:val="List Paragraph"/>
    <w:basedOn w:val="Normal"/>
    <w:uiPriority w:val="34"/>
    <w:qFormat/>
    <w:rsid w:val="00F7033E"/>
    <w:pPr>
      <w:ind w:left="720"/>
      <w:contextualSpacing/>
    </w:pPr>
    <w:rPr>
      <w:rFonts w:cs="Angsana New"/>
      <w:szCs w:val="30"/>
      <w:lang w:bidi="th-T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33E"/>
    <w:rPr>
      <w:color w:val="0000FF"/>
      <w:u w:val="single"/>
    </w:rPr>
  </w:style>
  <w:style w:type="character" w:customStyle="1" w:styleId="volume">
    <w:name w:val="volume"/>
    <w:basedOn w:val="DefaultParagraphFont"/>
    <w:rsid w:val="00F7033E"/>
  </w:style>
  <w:style w:type="character" w:customStyle="1" w:styleId="pages">
    <w:name w:val="pages"/>
    <w:basedOn w:val="DefaultParagraphFont"/>
    <w:rsid w:val="00F7033E"/>
  </w:style>
  <w:style w:type="paragraph" w:styleId="ListParagraph">
    <w:name w:val="List Paragraph"/>
    <w:basedOn w:val="Normal"/>
    <w:uiPriority w:val="34"/>
    <w:qFormat/>
    <w:rsid w:val="00F7033E"/>
    <w:pPr>
      <w:ind w:left="720"/>
      <w:contextualSpacing/>
    </w:pPr>
    <w:rPr>
      <w:rFonts w:cs="Angsana New"/>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Euphorbiaceae" TargetMode="External"/><Relationship Id="rId7" Type="http://schemas.openxmlformats.org/officeDocument/2006/relationships/hyperlink" Target="http://www.ncbi.nlm.nih.gov/pubmed/18326790?ordinalpos=1&amp;itool=EntrezSystem2.PEntrez.Pubmed.Pubmed_ResultsPanel.Pubmed_DefaultReportPanel.Pubmed_RVDocSum" TargetMode="External"/><Relationship Id="rId8" Type="http://schemas.openxmlformats.org/officeDocument/2006/relationships/hyperlink" Target="http://www.ncbi.nlm.nih.gov/pubmed/17932292?ordinalpos=2&amp;itool=EntrezSystem2.PEntrez.Pubmed.Pubmed_ResultsPanel.Pubmed_DefaultReportPanel.Pubmed_RVDocSum" TargetMode="External"/><Relationship Id="rId9" Type="http://schemas.openxmlformats.org/officeDocument/2006/relationships/hyperlink" Target="http://www.ncbi.nlm.nih.gov/pubmed/16307308?ordinalpos=3&amp;itool=EntrezSystem2.PEntrez.Pubmed.Pubmed_ResultsPanel.Pubmed_DefaultReportPanel.Pubmed_RVDocSu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6618</Characters>
  <Application>Microsoft Macintosh Word</Application>
  <DocSecurity>0</DocSecurity>
  <Lines>55</Lines>
  <Paragraphs>15</Paragraphs>
  <ScaleCrop>false</ScaleCrop>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nik</cp:lastModifiedBy>
  <cp:revision>1</cp:revision>
  <dcterms:created xsi:type="dcterms:W3CDTF">2018-03-09T04:19:00Z</dcterms:created>
  <dcterms:modified xsi:type="dcterms:W3CDTF">2018-03-09T04:20:00Z</dcterms:modified>
</cp:coreProperties>
</file>