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D415FB">
      <w:pPr>
        <w:pStyle w:val="2"/>
        <w:spacing w:line="240" w:lineRule="auto"/>
        <w:ind w:left="0"/>
        <w:rPr>
          <w:rFonts w:hint="eastAsia" w:eastAsia="宋体"/>
          <w:lang w:eastAsia="zh-CN"/>
        </w:rPr>
      </w:pPr>
      <w:r>
        <w:rPr>
          <w:rFonts w:hint="eastAsia" w:eastAsia="宋体"/>
          <w:b/>
          <w:bCs/>
          <w:spacing w:val="-1"/>
          <w:lang w:val="en-US" w:eastAsia="zh-CN"/>
        </w:rPr>
        <w:t xml:space="preserve">Selected  </w:t>
      </w:r>
      <w:r>
        <w:rPr>
          <w:b/>
          <w:bCs/>
          <w:spacing w:val="-1"/>
        </w:rPr>
        <w:t>publications</w:t>
      </w:r>
      <w:bookmarkStart w:id="0" w:name="_GoBack"/>
      <w:bookmarkEnd w:id="0"/>
    </w:p>
    <w:p w14:paraId="6203BD8B">
      <w:pPr>
        <w:pStyle w:val="2"/>
        <w:numPr>
          <w:ilvl w:val="0"/>
          <w:numId w:val="1"/>
        </w:numPr>
        <w:spacing w:before="247" w:line="360" w:lineRule="auto"/>
        <w:ind w:left="283" w:leftChars="0" w:hanging="283" w:firstLineChars="0"/>
        <w:rPr>
          <w:rFonts w:hint="eastAsia" w:eastAsia="宋体"/>
          <w:spacing w:val="2"/>
          <w:lang w:val="en-US" w:eastAsia="zh-CN"/>
        </w:rPr>
      </w:pPr>
      <w:r>
        <w:rPr>
          <w:spacing w:val="-2"/>
        </w:rPr>
        <w:t xml:space="preserve"> </w:t>
      </w:r>
      <w:r>
        <w:rPr>
          <w:rFonts w:hint="eastAsia"/>
          <w:spacing w:val="-2"/>
        </w:rPr>
        <w:t xml:space="preserve">Wang K, Jia Z, Bao L, Wang L, Cao L, Chi H, Hu Y, Li Q, Zhou Y, Jiang Y, Zhu Q, Deng Y, Liu P, Wang N, Wang L, Liu M, Li Y, Zhu B, Fan K, Fu W, Yang P, Pei X, Cui Z, Qin L, Ge P, Wu J, Liu S, Chen Y, Huang W, Wang Q, Qin CF, Wang Y, </w:t>
      </w:r>
      <w:r>
        <w:rPr>
          <w:rFonts w:hint="eastAsia"/>
          <w:b/>
          <w:bCs/>
          <w:spacing w:val="-2"/>
        </w:rPr>
        <w:t>Qin C</w:t>
      </w:r>
      <w:r>
        <w:rPr>
          <w:rFonts w:hint="eastAsia"/>
          <w:spacing w:val="-2"/>
        </w:rPr>
        <w:t xml:space="preserve"> (correspondence author), Wang X. Memory B cell repertoire from triple vaccinees against diverse SARS-CoV-2 variants. </w:t>
      </w:r>
      <w:r>
        <w:rPr>
          <w:rFonts w:hint="eastAsia"/>
          <w:b/>
          <w:bCs/>
          <w:i/>
          <w:iCs/>
          <w:spacing w:val="-2"/>
        </w:rPr>
        <w:t>Nature</w:t>
      </w:r>
      <w:r>
        <w:rPr>
          <w:rFonts w:hint="eastAsia"/>
          <w:spacing w:val="-2"/>
        </w:rPr>
        <w:t xml:space="preserve">. 2022 Mar;603(7903):919-925. </w:t>
      </w:r>
      <w:r>
        <w:rPr>
          <w:spacing w:val="-2"/>
        </w:rPr>
        <w:t xml:space="preserve"> </w:t>
      </w:r>
    </w:p>
    <w:p w14:paraId="09CA0678">
      <w:pPr>
        <w:pStyle w:val="2"/>
        <w:numPr>
          <w:ilvl w:val="0"/>
          <w:numId w:val="1"/>
        </w:numPr>
        <w:spacing w:before="247" w:line="360" w:lineRule="auto"/>
        <w:ind w:left="283" w:leftChars="0" w:hanging="283" w:firstLineChars="0"/>
        <w:rPr>
          <w:rFonts w:hint="eastAsia" w:eastAsia="宋体"/>
          <w:spacing w:val="2"/>
          <w:lang w:val="en-US" w:eastAsia="zh-CN"/>
        </w:rPr>
      </w:pPr>
      <w:r>
        <w:rPr>
          <w:rFonts w:hint="eastAsia" w:eastAsia="宋体"/>
          <w:spacing w:val="-2"/>
          <w:lang w:val="en-US" w:eastAsia="zh-CN"/>
        </w:rPr>
        <w:t xml:space="preserve"> </w:t>
      </w:r>
      <w:r>
        <w:rPr>
          <w:rFonts w:hint="eastAsia"/>
          <w:spacing w:val="-2"/>
        </w:rPr>
        <w:t xml:space="preserve">Bao L, Deng W, Huang B, Gao H, Liu J, Ren L, Wei Q, Yu P, Xu Y, Qi F, Qu Y, Li F, Lv Q, Wang W, Xue J, Gong S, Liu M, Wang G, Wang S, Song Z, Zhao L, Liu P, Zhao L, Ye F, Wang H, Zhou W, Zhu N, Zhen W, Yu H, Zhang X, Guo L, Chen L, Wang C, Wang Y, Wang X, Xiao Y, Sun Q, Liu H, Zhu F, Ma C, Yan L, Yang M, Han J, Xu W, Tan W, Peng X, Jin Q, Wu G, </w:t>
      </w:r>
      <w:r>
        <w:rPr>
          <w:rFonts w:hint="eastAsia"/>
          <w:b/>
          <w:bCs/>
          <w:spacing w:val="-2"/>
        </w:rPr>
        <w:t>Qin C</w:t>
      </w:r>
      <w:r>
        <w:rPr>
          <w:spacing w:val="19"/>
        </w:rPr>
        <w:t xml:space="preserve"> </w:t>
      </w:r>
      <w:r>
        <w:rPr>
          <w:spacing w:val="-3"/>
        </w:rPr>
        <w:t>(correspondence</w:t>
      </w:r>
      <w:r>
        <w:t xml:space="preserve"> author)</w:t>
      </w:r>
      <w:r>
        <w:rPr>
          <w:rFonts w:hint="eastAsia"/>
          <w:spacing w:val="-2"/>
        </w:rPr>
        <w:t>. The pathogenicity of SARS-CoV-2 in hACE2 transgenic mice.</w:t>
      </w:r>
      <w:r>
        <w:rPr>
          <w:rFonts w:hint="eastAsia"/>
          <w:b/>
          <w:bCs/>
          <w:spacing w:val="-2"/>
        </w:rPr>
        <w:t xml:space="preserve"> </w:t>
      </w:r>
      <w:r>
        <w:rPr>
          <w:rFonts w:hint="eastAsia"/>
          <w:b/>
          <w:bCs/>
          <w:i/>
          <w:iCs/>
          <w:spacing w:val="-2"/>
        </w:rPr>
        <w:t>Nature</w:t>
      </w:r>
      <w:r>
        <w:rPr>
          <w:rFonts w:hint="eastAsia"/>
          <w:spacing w:val="-2"/>
        </w:rPr>
        <w:t xml:space="preserve">. 2020 Jul;583(7818):830-833. </w:t>
      </w:r>
    </w:p>
    <w:p w14:paraId="18783D95">
      <w:pPr>
        <w:pStyle w:val="2"/>
        <w:numPr>
          <w:ilvl w:val="0"/>
          <w:numId w:val="1"/>
        </w:numPr>
        <w:spacing w:before="247" w:line="360" w:lineRule="auto"/>
        <w:ind w:left="283" w:leftChars="0" w:hanging="283" w:firstLineChars="0"/>
        <w:rPr>
          <w:rFonts w:hint="eastAsia" w:eastAsia="宋体"/>
          <w:spacing w:val="2"/>
          <w:lang w:val="en-US" w:eastAsia="zh-CN"/>
        </w:rPr>
      </w:pPr>
      <w:r>
        <w:rPr>
          <w:rFonts w:hint="eastAsia" w:eastAsia="宋体"/>
          <w:spacing w:val="2"/>
          <w:lang w:val="en-US" w:eastAsia="zh-CN"/>
        </w:rPr>
        <w:t xml:space="preserve"> Deng W, Bao L, Liu J, Xiao C, Liu J, Xue J, Lv Q, Qi F, Gao H, Yu P, Xu Y, Qu Y, Li F, Xiang Z, Yu H, Gong S, Liu M, Wang G, Wang S, Song Z, Liu Y, Zhao W, Han Y, Zhao L, Liu X, Wei Q, </w:t>
      </w:r>
      <w:r>
        <w:rPr>
          <w:rFonts w:hint="eastAsia" w:eastAsia="宋体"/>
          <w:b/>
          <w:bCs/>
          <w:spacing w:val="2"/>
          <w:lang w:val="en-US" w:eastAsia="zh-CN"/>
        </w:rPr>
        <w:t>Qin C</w:t>
      </w:r>
      <w:r>
        <w:rPr>
          <w:spacing w:val="19"/>
        </w:rPr>
        <w:t xml:space="preserve"> </w:t>
      </w:r>
      <w:r>
        <w:rPr>
          <w:spacing w:val="-3"/>
        </w:rPr>
        <w:t>(correspondence</w:t>
      </w:r>
      <w:r>
        <w:t xml:space="preserve"> author)</w:t>
      </w:r>
      <w:r>
        <w:rPr>
          <w:rFonts w:hint="eastAsia" w:eastAsia="宋体"/>
          <w:spacing w:val="2"/>
          <w:lang w:val="en-US" w:eastAsia="zh-CN"/>
        </w:rPr>
        <w:t>. Primary exposure to SARS-CoV-2 protects against reinfection in rhesus macaques.</w:t>
      </w:r>
      <w:r>
        <w:rPr>
          <w:rFonts w:hint="eastAsia" w:eastAsia="宋体"/>
          <w:b/>
          <w:bCs/>
          <w:spacing w:val="2"/>
          <w:lang w:val="en-US" w:eastAsia="zh-CN"/>
        </w:rPr>
        <w:t xml:space="preserve"> </w:t>
      </w:r>
      <w:r>
        <w:rPr>
          <w:rFonts w:hint="eastAsia" w:eastAsia="宋体"/>
          <w:b/>
          <w:bCs/>
          <w:i/>
          <w:iCs/>
          <w:spacing w:val="2"/>
          <w:lang w:val="en-US" w:eastAsia="zh-CN"/>
        </w:rPr>
        <w:t>Science</w:t>
      </w:r>
      <w:r>
        <w:rPr>
          <w:rFonts w:hint="eastAsia" w:eastAsia="宋体"/>
          <w:spacing w:val="2"/>
          <w:lang w:val="en-US" w:eastAsia="zh-CN"/>
        </w:rPr>
        <w:t xml:space="preserve">. 2020 Aug 14;369(6505):818-823. </w:t>
      </w:r>
    </w:p>
    <w:p w14:paraId="5C67CCD7">
      <w:pPr>
        <w:pStyle w:val="2"/>
        <w:numPr>
          <w:ilvl w:val="0"/>
          <w:numId w:val="1"/>
        </w:numPr>
        <w:spacing w:before="247" w:line="360" w:lineRule="auto"/>
        <w:ind w:left="283" w:leftChars="0" w:hanging="283" w:firstLineChars="0"/>
        <w:rPr>
          <w:rFonts w:hint="eastAsia" w:eastAsia="宋体"/>
          <w:spacing w:val="2"/>
          <w:lang w:val="en-US" w:eastAsia="zh-CN"/>
        </w:rPr>
      </w:pPr>
      <w:r>
        <w:rPr>
          <w:rFonts w:hint="eastAsia" w:eastAsia="宋体"/>
          <w:spacing w:val="2"/>
          <w:lang w:val="en-US" w:eastAsia="zh-CN"/>
        </w:rPr>
        <w:t xml:space="preserve"> Gao Q, Bao L, Mao H, Wang L, Xu K, Yang M, Li Y, Zhu L, Wang N, Lv Z, Gao H, Ge X, Kan B, Hu Y, Liu J, Cai F, Jiang D, Yin Y, Qin C, Li J, Gong X, Lou X, Shi W, Wu D, Zhang H, Zhu L, Deng W, Li Y, Lu J, Li C, Wang X, Yin W, Zhang Y, </w:t>
      </w:r>
      <w:r>
        <w:rPr>
          <w:rFonts w:hint="eastAsia" w:eastAsia="宋体"/>
          <w:b/>
          <w:bCs/>
          <w:spacing w:val="2"/>
          <w:lang w:val="en-US" w:eastAsia="zh-CN"/>
        </w:rPr>
        <w:t>Qin C</w:t>
      </w:r>
      <w:r>
        <w:rPr>
          <w:spacing w:val="19"/>
        </w:rPr>
        <w:t xml:space="preserve"> </w:t>
      </w:r>
      <w:r>
        <w:rPr>
          <w:spacing w:val="-3"/>
        </w:rPr>
        <w:t>(correspondence</w:t>
      </w:r>
      <w:r>
        <w:t xml:space="preserve"> author)</w:t>
      </w:r>
      <w:r>
        <w:rPr>
          <w:rFonts w:hint="eastAsia" w:eastAsia="宋体"/>
          <w:spacing w:val="2"/>
          <w:lang w:val="en-US" w:eastAsia="zh-CN"/>
        </w:rPr>
        <w:t xml:space="preserve">. Development of an inactivated vaccine candidate for SARS-CoV-2. </w:t>
      </w:r>
      <w:r>
        <w:rPr>
          <w:rFonts w:hint="eastAsia" w:eastAsia="宋体"/>
          <w:b/>
          <w:bCs/>
          <w:i/>
          <w:iCs/>
          <w:spacing w:val="2"/>
          <w:lang w:val="en-US" w:eastAsia="zh-CN"/>
        </w:rPr>
        <w:t>Science</w:t>
      </w:r>
      <w:r>
        <w:rPr>
          <w:rFonts w:hint="eastAsia" w:eastAsia="宋体"/>
          <w:spacing w:val="2"/>
          <w:lang w:val="en-US" w:eastAsia="zh-CN"/>
        </w:rPr>
        <w:t xml:space="preserve">. 2020 Jul 3;369(6499):77-81. </w:t>
      </w:r>
    </w:p>
    <w:p w14:paraId="52756950">
      <w:pPr>
        <w:pStyle w:val="2"/>
        <w:numPr>
          <w:ilvl w:val="0"/>
          <w:numId w:val="1"/>
        </w:numPr>
        <w:spacing w:before="247" w:line="360" w:lineRule="auto"/>
        <w:ind w:left="283" w:leftChars="0" w:hanging="283" w:firstLineChars="0"/>
        <w:rPr>
          <w:rFonts w:hint="eastAsia" w:eastAsia="宋体"/>
          <w:spacing w:val="2"/>
          <w:lang w:val="en-US" w:eastAsia="zh-CN"/>
        </w:rPr>
      </w:pPr>
      <w:r>
        <w:rPr>
          <w:rFonts w:hint="eastAsia" w:eastAsia="宋体"/>
          <w:spacing w:val="2"/>
          <w:lang w:val="en-US" w:eastAsia="zh-CN"/>
        </w:rPr>
        <w:t xml:space="preserve"> Du S, Cao Y, Zhu Q, Yu P, Qi F, Wang G, Du X, Bao L, Deng W, Zhu H, Liu J, Nie J, Zheng Y, Liang H, Liu R, Gong S, Xu H, Yisimayi A, Lv Q, Wang B, He R, Han Y, Zhao W, Bai Y, Qu Y, Gao X, Ji C, Wang Q, Gao N, Huang W, Wang Y, Xie XS, Su XD, Xiao J, </w:t>
      </w:r>
      <w:r>
        <w:rPr>
          <w:rFonts w:hint="eastAsia" w:eastAsia="宋体"/>
          <w:b/>
          <w:bCs/>
          <w:spacing w:val="2"/>
          <w:lang w:val="en-US" w:eastAsia="zh-CN"/>
        </w:rPr>
        <w:t>Qin C</w:t>
      </w:r>
      <w:r>
        <w:rPr>
          <w:spacing w:val="19"/>
        </w:rPr>
        <w:t xml:space="preserve"> </w:t>
      </w:r>
      <w:r>
        <w:rPr>
          <w:spacing w:val="-3"/>
        </w:rPr>
        <w:t>(correspondence</w:t>
      </w:r>
      <w:r>
        <w:t xml:space="preserve"> author)</w:t>
      </w:r>
      <w:r>
        <w:rPr>
          <w:rFonts w:hint="eastAsia" w:eastAsia="宋体"/>
          <w:spacing w:val="2"/>
          <w:lang w:val="en-US" w:eastAsia="zh-CN"/>
        </w:rPr>
        <w:t xml:space="preserve">. Structurally Resolved SARS-CoV-2 Antibody Shows High Efficacy in Severely Infected Hamsters and Provides a Potent Cocktail Pairing Strategy. </w:t>
      </w:r>
      <w:r>
        <w:rPr>
          <w:rFonts w:hint="eastAsia" w:eastAsia="宋体"/>
          <w:b/>
          <w:bCs/>
          <w:i/>
          <w:iCs/>
          <w:spacing w:val="2"/>
          <w:lang w:val="en-US" w:eastAsia="zh-CN"/>
        </w:rPr>
        <w:t>Cell</w:t>
      </w:r>
      <w:r>
        <w:rPr>
          <w:rFonts w:hint="eastAsia" w:eastAsia="宋体"/>
          <w:spacing w:val="2"/>
          <w:lang w:val="en-US" w:eastAsia="zh-CN"/>
        </w:rPr>
        <w:t>. 2020 Nov 12;183(4):1013-1023.e13.</w:t>
      </w:r>
    </w:p>
    <w:p w14:paraId="65DF93DB">
      <w:pPr>
        <w:pStyle w:val="2"/>
        <w:numPr>
          <w:ilvl w:val="0"/>
          <w:numId w:val="1"/>
        </w:numPr>
        <w:spacing w:before="247" w:line="360" w:lineRule="auto"/>
        <w:ind w:left="283" w:leftChars="0" w:hanging="283" w:firstLineChars="0"/>
        <w:rPr>
          <w:rFonts w:hint="eastAsia" w:eastAsia="宋体"/>
          <w:spacing w:val="2"/>
          <w:lang w:val="en-US" w:eastAsia="zh-CN"/>
        </w:rPr>
      </w:pPr>
      <w:r>
        <w:rPr>
          <w:rFonts w:hint="eastAsia" w:eastAsia="宋体"/>
          <w:spacing w:val="2"/>
          <w:lang w:val="en-US" w:eastAsia="zh-CN"/>
        </w:rPr>
        <w:t xml:space="preserve">Cao Y, Su B, Guo X, Sun W, Deng Y, Bao L, Zhu Q, Zhang X, Zheng Y, Geng C, Chai X, He R, Li X, Lv Q, Zhu H, Deng W, Xu Y, Wang Y, Qiao L, Tan Y, Song L, Wang G, Du X, Gao N, Liu J, Xiao J, Su XD, Du Z, Feng Y, Qin C, </w:t>
      </w:r>
      <w:r>
        <w:rPr>
          <w:rFonts w:hint="eastAsia"/>
          <w:b/>
          <w:bCs/>
          <w:spacing w:val="-2"/>
        </w:rPr>
        <w:t>Qin C</w:t>
      </w:r>
      <w:r>
        <w:rPr>
          <w:rFonts w:hint="eastAsia"/>
          <w:spacing w:val="-2"/>
        </w:rPr>
        <w:t xml:space="preserve"> (correspondence author)</w:t>
      </w:r>
      <w:r>
        <w:rPr>
          <w:rFonts w:hint="eastAsia" w:eastAsia="宋体"/>
          <w:spacing w:val="2"/>
          <w:lang w:val="en-US" w:eastAsia="zh-CN"/>
        </w:rPr>
        <w:t xml:space="preserve">, Jin R, Xie XS. Potent Neutralizing Antibodies against SARS-CoV-2 Identified by High-Throughput Single-Cell Sequencing of Convalescent Patients' B Cells. </w:t>
      </w:r>
      <w:r>
        <w:rPr>
          <w:rFonts w:hint="eastAsia" w:eastAsia="宋体"/>
          <w:b/>
          <w:bCs/>
          <w:i/>
          <w:iCs/>
          <w:spacing w:val="2"/>
          <w:lang w:val="en-US" w:eastAsia="zh-CN"/>
        </w:rPr>
        <w:t>Cell</w:t>
      </w:r>
      <w:r>
        <w:rPr>
          <w:rFonts w:hint="eastAsia" w:eastAsia="宋体"/>
          <w:spacing w:val="2"/>
          <w:lang w:val="en-US" w:eastAsia="zh-CN"/>
        </w:rPr>
        <w:t xml:space="preserve">. 2020 Jul 9;182(1):73-84.e16. </w:t>
      </w:r>
    </w:p>
    <w:p w14:paraId="39FDEC82">
      <w:pPr>
        <w:pStyle w:val="2"/>
        <w:numPr>
          <w:ilvl w:val="0"/>
          <w:numId w:val="1"/>
        </w:numPr>
        <w:spacing w:before="247" w:line="360" w:lineRule="auto"/>
        <w:ind w:left="283" w:leftChars="0" w:hanging="283" w:firstLineChars="0"/>
        <w:rPr>
          <w:rFonts w:hint="eastAsia" w:eastAsia="宋体"/>
          <w:spacing w:val="2"/>
          <w:lang w:val="en-US" w:eastAsia="zh-CN"/>
        </w:rPr>
      </w:pPr>
      <w:r>
        <w:rPr>
          <w:rFonts w:hint="eastAsia" w:eastAsia="宋体"/>
          <w:spacing w:val="2"/>
          <w:lang w:val="en-US" w:eastAsia="zh-CN"/>
        </w:rPr>
        <w:t xml:space="preserve"> Dai L, Zheng T, Xu K, Han Y, Xu L, Huang E, An Y, Cheng Y, Li S, Liu M, Yang M, Li Y, Cheng H, Yuan Y, Zhang W, Ke C, Wong G, Qi J, </w:t>
      </w:r>
      <w:r>
        <w:rPr>
          <w:rFonts w:hint="eastAsia"/>
          <w:b/>
          <w:bCs/>
          <w:spacing w:val="-2"/>
        </w:rPr>
        <w:t>Qin C</w:t>
      </w:r>
      <w:r>
        <w:rPr>
          <w:rFonts w:hint="eastAsia"/>
          <w:spacing w:val="-2"/>
        </w:rPr>
        <w:t xml:space="preserve"> (correspondence author)</w:t>
      </w:r>
      <w:r>
        <w:rPr>
          <w:rFonts w:hint="eastAsia" w:eastAsia="宋体"/>
          <w:spacing w:val="2"/>
          <w:lang w:val="en-US" w:eastAsia="zh-CN"/>
        </w:rPr>
        <w:t xml:space="preserve">, Yan J, Gao GF. A Universal Design of Betacoronavirus Vaccines against COVID-19, MERS, and SARS. </w:t>
      </w:r>
      <w:r>
        <w:rPr>
          <w:rFonts w:hint="eastAsia" w:eastAsia="宋体"/>
          <w:b/>
          <w:bCs/>
          <w:i/>
          <w:iCs/>
          <w:spacing w:val="2"/>
          <w:lang w:val="en-US" w:eastAsia="zh-CN"/>
        </w:rPr>
        <w:t>Cell</w:t>
      </w:r>
      <w:r>
        <w:rPr>
          <w:rFonts w:hint="eastAsia" w:eastAsia="宋体"/>
          <w:spacing w:val="2"/>
          <w:lang w:val="en-US" w:eastAsia="zh-CN"/>
        </w:rPr>
        <w:t xml:space="preserve">. 2020 Aug 6;182(3):722-733.e11.  </w:t>
      </w:r>
    </w:p>
    <w:p w14:paraId="558AB4D9">
      <w:pPr>
        <w:pStyle w:val="2"/>
        <w:numPr>
          <w:ilvl w:val="0"/>
          <w:numId w:val="1"/>
        </w:numPr>
        <w:spacing w:before="247" w:line="360" w:lineRule="auto"/>
        <w:ind w:left="283" w:leftChars="0" w:hanging="283" w:firstLineChars="0"/>
        <w:rPr>
          <w:rFonts w:hint="eastAsia" w:eastAsia="宋体"/>
          <w:spacing w:val="2"/>
          <w:lang w:val="en-US" w:eastAsia="zh-CN"/>
        </w:rPr>
      </w:pPr>
      <w:r>
        <w:rPr>
          <w:rFonts w:hint="eastAsia" w:eastAsia="宋体"/>
          <w:spacing w:val="2"/>
          <w:lang w:val="en-US" w:eastAsia="zh-CN"/>
        </w:rPr>
        <w:t xml:space="preserve">Cong B, Dong X, Yang Z, Yu P, Chai Y, Liu J, Zhang M, Zang Y, Kang J, Feng Y, Liu Y, Feng W, Wang D, Deng W, Li F, Song Z, Wang Z, Chen X, Qin H, Yu Q, Li Z, Liu S, Xu X, Zhong N, Ren X, </w:t>
      </w:r>
      <w:r>
        <w:rPr>
          <w:rFonts w:hint="eastAsia"/>
          <w:b/>
          <w:bCs/>
          <w:spacing w:val="-2"/>
        </w:rPr>
        <w:t>Qin C</w:t>
      </w:r>
      <w:r>
        <w:rPr>
          <w:rFonts w:hint="eastAsia"/>
          <w:spacing w:val="-2"/>
        </w:rPr>
        <w:t xml:space="preserve"> (correspondence author)</w:t>
      </w:r>
      <w:r>
        <w:rPr>
          <w:rFonts w:hint="eastAsia" w:eastAsia="宋体"/>
          <w:spacing w:val="2"/>
          <w:lang w:val="en-US" w:eastAsia="zh-CN"/>
        </w:rPr>
        <w:t xml:space="preserve">, Liu L, Wang J, Cao X. Single-cell spatiotemporal analysis reveals alveolar dendritic cell-T cell immunity hubs defending against pulmonary infection. Cell Discov. 2024 Oct 16;10(1):103. </w:t>
      </w:r>
    </w:p>
    <w:p w14:paraId="113189F3">
      <w:pPr>
        <w:pStyle w:val="2"/>
        <w:numPr>
          <w:ilvl w:val="0"/>
          <w:numId w:val="1"/>
        </w:numPr>
        <w:spacing w:before="247" w:line="360" w:lineRule="auto"/>
        <w:ind w:left="283" w:leftChars="0" w:hanging="283" w:firstLineChars="0"/>
        <w:rPr>
          <w:rFonts w:hint="eastAsia" w:eastAsia="宋体"/>
          <w:spacing w:val="2"/>
          <w:lang w:val="en-US" w:eastAsia="zh-CN"/>
        </w:rPr>
      </w:pPr>
      <w:r>
        <w:rPr>
          <w:rFonts w:hint="eastAsia" w:eastAsia="宋体"/>
          <w:spacing w:val="2"/>
          <w:lang w:val="en-US" w:eastAsia="zh-CN"/>
        </w:rPr>
        <w:t xml:space="preserve">Cong B, Dong X, Yang Z, Yu P, Chai Y, Liu J, Zhang M, Zang Y, Kang J, Feng Y, Liu Y, Feng W, Wang D, Deng W, Li F, Song Z, Wang Z, Chen X, Qin H, Yu Q, Li Z, Liu S, Xu X, Zhong N, Ren X, </w:t>
      </w:r>
      <w:r>
        <w:rPr>
          <w:rFonts w:hint="eastAsia"/>
          <w:b/>
          <w:bCs/>
          <w:spacing w:val="-2"/>
        </w:rPr>
        <w:t>Qin C</w:t>
      </w:r>
      <w:r>
        <w:rPr>
          <w:rFonts w:hint="eastAsia"/>
          <w:spacing w:val="-2"/>
        </w:rPr>
        <w:t xml:space="preserve"> (correspondence author)</w:t>
      </w:r>
      <w:r>
        <w:rPr>
          <w:rFonts w:hint="eastAsia" w:eastAsia="宋体"/>
          <w:spacing w:val="2"/>
          <w:lang w:val="en-US" w:eastAsia="zh-CN"/>
        </w:rPr>
        <w:t>, Liu L, Wang J, Cao X. Single-cell spatiotemporal analysis of the lungs reveals Slamf9+ macrophages involved in viral clearance and inflammation resolution. Cell Discov. 2024 Oct 16;10(1):104.</w:t>
      </w:r>
    </w:p>
    <w:p w14:paraId="27F5A091">
      <w:pPr>
        <w:pStyle w:val="2"/>
        <w:numPr>
          <w:ilvl w:val="0"/>
          <w:numId w:val="1"/>
        </w:numPr>
        <w:spacing w:before="247" w:line="360" w:lineRule="auto"/>
        <w:ind w:left="283" w:leftChars="0" w:hanging="283" w:firstLineChars="0"/>
        <w:rPr>
          <w:rFonts w:hint="eastAsia" w:eastAsia="宋体"/>
          <w:spacing w:val="2"/>
          <w:lang w:val="en-US" w:eastAsia="zh-CN"/>
        </w:rPr>
      </w:pPr>
      <w:r>
        <w:rPr>
          <w:rFonts w:hint="eastAsia" w:eastAsia="宋体"/>
          <w:spacing w:val="2"/>
          <w:lang w:val="en-US" w:eastAsia="zh-CN"/>
        </w:rPr>
        <w:t xml:space="preserve">Wei R, Han X, Li M, Ji Y, Zhang L, Christodoulou MI, Hameed Aga NJ, Zhang C, Gao R, Liu J, Fu J, Lu G, Xiao X, Liu X, Yang PC, McInnes IB, Sun Y, Gao P, </w:t>
      </w:r>
      <w:r>
        <w:rPr>
          <w:rFonts w:hint="eastAsia"/>
          <w:b/>
          <w:bCs/>
          <w:spacing w:val="-2"/>
        </w:rPr>
        <w:t>Qin C</w:t>
      </w:r>
      <w:r>
        <w:rPr>
          <w:rFonts w:hint="eastAsia"/>
          <w:spacing w:val="-2"/>
        </w:rPr>
        <w:t xml:space="preserve"> (correspondence author)</w:t>
      </w:r>
      <w:r>
        <w:rPr>
          <w:rFonts w:hint="eastAsia" w:eastAsia="宋体"/>
          <w:spacing w:val="2"/>
          <w:lang w:val="en-US" w:eastAsia="zh-CN"/>
        </w:rPr>
        <w:t xml:space="preserve">, Huang SK, Zhou Y, Xu D. The nuclear cytokine IL-37a controls lethal cytokine storms primarily via IL-1R8-independent transcriptional upregulation of PPARγ. </w:t>
      </w:r>
      <w:r>
        <w:rPr>
          <w:rFonts w:hint="eastAsia" w:eastAsia="宋体"/>
          <w:b/>
          <w:bCs/>
          <w:i/>
          <w:iCs/>
          <w:spacing w:val="2"/>
          <w:lang w:val="en-US" w:eastAsia="zh-CN"/>
        </w:rPr>
        <w:t>Cell Mol Immunol</w:t>
      </w:r>
      <w:r>
        <w:rPr>
          <w:rFonts w:hint="eastAsia" w:eastAsia="宋体"/>
          <w:spacing w:val="2"/>
          <w:lang w:val="en-US" w:eastAsia="zh-CN"/>
        </w:rPr>
        <w:t xml:space="preserve">. 2023 Dec;20(12):1428-1444. </w:t>
      </w:r>
    </w:p>
    <w:p w14:paraId="4A3D2BB4">
      <w:pPr>
        <w:pStyle w:val="2"/>
        <w:numPr>
          <w:ilvl w:val="0"/>
          <w:numId w:val="1"/>
        </w:numPr>
        <w:spacing w:before="247" w:line="360" w:lineRule="auto"/>
        <w:ind w:left="283" w:leftChars="0" w:hanging="283" w:firstLineChars="0"/>
        <w:rPr>
          <w:rFonts w:hint="eastAsia" w:eastAsia="宋体"/>
          <w:spacing w:val="2"/>
          <w:lang w:val="en-US" w:eastAsia="zh-CN"/>
        </w:rPr>
      </w:pPr>
      <w:r>
        <w:rPr>
          <w:rFonts w:hint="eastAsia" w:eastAsia="宋体"/>
          <w:spacing w:val="2"/>
          <w:lang w:val="en-US" w:eastAsia="zh-CN"/>
        </w:rPr>
        <w:t xml:space="preserve">Darricau M, Dou C, Kinet R, Zhu T, Zhou L, Li X, Bedel A, Claverol S, Tokarski C, Katsinelos T, McEwan WA, Zhang L, Gao R, Bourdenx M, Dehay B, </w:t>
      </w:r>
      <w:r>
        <w:rPr>
          <w:rFonts w:hint="eastAsia"/>
          <w:b/>
          <w:bCs/>
          <w:spacing w:val="-2"/>
        </w:rPr>
        <w:t>Qin C</w:t>
      </w:r>
      <w:r>
        <w:rPr>
          <w:rFonts w:hint="eastAsia"/>
          <w:spacing w:val="-2"/>
        </w:rPr>
        <w:t xml:space="preserve"> (correspondence author)</w:t>
      </w:r>
      <w:r>
        <w:rPr>
          <w:rFonts w:hint="eastAsia" w:eastAsia="宋体"/>
          <w:spacing w:val="2"/>
          <w:lang w:val="en-US" w:eastAsia="zh-CN"/>
        </w:rPr>
        <w:t xml:space="preserve">, Bezard E, Planche V. Tau seeds from Alzheimer's disease brains trigger tau spread in macaques while oligomeric-Aβ mediates pathology maturation. </w:t>
      </w:r>
      <w:r>
        <w:rPr>
          <w:rFonts w:hint="eastAsia" w:eastAsia="宋体"/>
          <w:b/>
          <w:bCs/>
          <w:i/>
          <w:iCs/>
          <w:spacing w:val="2"/>
          <w:lang w:val="en-US" w:eastAsia="zh-CN"/>
        </w:rPr>
        <w:t>Alzheimers Dement</w:t>
      </w:r>
      <w:r>
        <w:rPr>
          <w:rFonts w:hint="eastAsia" w:eastAsia="宋体"/>
          <w:spacing w:val="2"/>
          <w:lang w:val="en-US" w:eastAsia="zh-CN"/>
        </w:rPr>
        <w:t xml:space="preserve">. 2024 Mar;20(3):1894-1912. </w:t>
      </w:r>
    </w:p>
    <w:p w14:paraId="18FEB890">
      <w:pPr>
        <w:pStyle w:val="2"/>
        <w:numPr>
          <w:ilvl w:val="0"/>
          <w:numId w:val="1"/>
        </w:numPr>
        <w:spacing w:before="247" w:line="360" w:lineRule="auto"/>
        <w:ind w:left="283" w:leftChars="0" w:hanging="283" w:firstLineChars="0"/>
        <w:rPr>
          <w:rFonts w:hint="eastAsia" w:eastAsia="宋体"/>
          <w:spacing w:val="2"/>
          <w:lang w:val="en-US" w:eastAsia="zh-CN"/>
        </w:rPr>
      </w:pPr>
      <w:r>
        <w:rPr>
          <w:rFonts w:hint="eastAsia" w:eastAsia="宋体"/>
          <w:spacing w:val="2"/>
          <w:lang w:val="en-US" w:eastAsia="zh-CN"/>
        </w:rPr>
        <w:t xml:space="preserve">Pan J, Zhang L, Huang Z, Zhao D, Li H, Fu Y, Wang M, Chen B, Iraqi FA, Morahan G, </w:t>
      </w:r>
      <w:r>
        <w:rPr>
          <w:rFonts w:hint="eastAsia" w:eastAsia="宋体"/>
          <w:b/>
          <w:bCs/>
          <w:spacing w:val="2"/>
          <w:lang w:val="en-US" w:eastAsia="zh-CN"/>
        </w:rPr>
        <w:t>Qin C</w:t>
      </w:r>
      <w:r>
        <w:rPr>
          <w:spacing w:val="19"/>
        </w:rPr>
        <w:t xml:space="preserve"> </w:t>
      </w:r>
      <w:r>
        <w:rPr>
          <w:spacing w:val="-3"/>
        </w:rPr>
        <w:t>(correspondence</w:t>
      </w:r>
      <w:r>
        <w:t xml:space="preserve"> author)</w:t>
      </w:r>
      <w:r>
        <w:rPr>
          <w:rFonts w:hint="eastAsia" w:eastAsia="宋体"/>
          <w:spacing w:val="2"/>
          <w:lang w:val="en-US" w:eastAsia="zh-CN"/>
        </w:rPr>
        <w:t xml:space="preserve">. Strategies for generating mouse model resources of human disease. </w:t>
      </w:r>
      <w:r>
        <w:rPr>
          <w:rFonts w:hint="eastAsia" w:eastAsia="宋体"/>
          <w:b/>
          <w:bCs/>
          <w:i/>
          <w:iCs/>
          <w:spacing w:val="2"/>
          <w:lang w:val="en-US" w:eastAsia="zh-CN"/>
        </w:rPr>
        <w:t>Protein Cell</w:t>
      </w:r>
      <w:r>
        <w:rPr>
          <w:rFonts w:hint="eastAsia" w:eastAsia="宋体"/>
          <w:spacing w:val="2"/>
          <w:lang w:val="en-US" w:eastAsia="zh-CN"/>
        </w:rPr>
        <w:t xml:space="preserve">. 2023 Dec 1;14(12):866-870. </w:t>
      </w:r>
    </w:p>
    <w:p w14:paraId="56436D54">
      <w:pPr>
        <w:pStyle w:val="2"/>
        <w:numPr>
          <w:ilvl w:val="0"/>
          <w:numId w:val="1"/>
        </w:numPr>
        <w:spacing w:before="247" w:line="360" w:lineRule="auto"/>
        <w:ind w:left="283" w:leftChars="0" w:hanging="283" w:firstLineChars="0"/>
        <w:rPr>
          <w:rFonts w:hint="eastAsia" w:eastAsia="宋体"/>
          <w:spacing w:val="2"/>
          <w:lang w:val="en-US" w:eastAsia="zh-CN"/>
        </w:rPr>
      </w:pPr>
      <w:r>
        <w:rPr>
          <w:rFonts w:hint="eastAsia" w:eastAsia="宋体"/>
          <w:spacing w:val="2"/>
          <w:lang w:val="en-US" w:eastAsia="zh-CN"/>
        </w:rPr>
        <w:t xml:space="preserve">Liu M, Pan J, Li X, Zhang X, Tian F, Li M, Wu X, Zhang L, </w:t>
      </w:r>
      <w:r>
        <w:rPr>
          <w:rFonts w:hint="eastAsia" w:eastAsia="宋体"/>
          <w:b/>
          <w:bCs/>
          <w:spacing w:val="2"/>
          <w:lang w:val="en-US" w:eastAsia="zh-CN"/>
        </w:rPr>
        <w:t>Qin C</w:t>
      </w:r>
      <w:r>
        <w:rPr>
          <w:spacing w:val="19"/>
        </w:rPr>
        <w:t xml:space="preserve"> </w:t>
      </w:r>
      <w:r>
        <w:rPr>
          <w:spacing w:val="-3"/>
        </w:rPr>
        <w:t>(correspondence</w:t>
      </w:r>
      <w:r>
        <w:t xml:space="preserve"> author)</w:t>
      </w:r>
      <w:r>
        <w:rPr>
          <w:rFonts w:hint="eastAsia" w:eastAsia="宋体"/>
          <w:spacing w:val="2"/>
          <w:lang w:val="en-US" w:eastAsia="zh-CN"/>
        </w:rPr>
        <w:t xml:space="preserve">. Interleukin-6 deficiency reduces neuroinflammation by inhibiting the STAT3-cGAS-STING pathway in Alzheimer's disease mice. </w:t>
      </w:r>
      <w:r>
        <w:rPr>
          <w:rFonts w:hint="eastAsia" w:eastAsia="宋体"/>
          <w:b/>
          <w:bCs/>
          <w:i/>
          <w:iCs/>
          <w:spacing w:val="2"/>
          <w:lang w:val="en-US" w:eastAsia="zh-CN"/>
        </w:rPr>
        <w:t>J Neuroinflammation</w:t>
      </w:r>
      <w:r>
        <w:rPr>
          <w:rFonts w:hint="eastAsia" w:eastAsia="宋体"/>
          <w:spacing w:val="2"/>
          <w:lang w:val="en-US" w:eastAsia="zh-CN"/>
        </w:rPr>
        <w:t xml:space="preserve">. 2024 Nov 1;21(1):282. </w:t>
      </w:r>
    </w:p>
    <w:p w14:paraId="55699A74">
      <w:pPr>
        <w:pStyle w:val="2"/>
        <w:numPr>
          <w:ilvl w:val="0"/>
          <w:numId w:val="1"/>
        </w:numPr>
        <w:spacing w:before="247" w:line="360" w:lineRule="auto"/>
        <w:ind w:left="283" w:leftChars="0" w:hanging="283" w:firstLineChars="0"/>
        <w:rPr>
          <w:rFonts w:hint="eastAsia" w:eastAsia="宋体"/>
          <w:spacing w:val="2"/>
          <w:lang w:val="en-US" w:eastAsia="zh-CN"/>
        </w:rPr>
      </w:pPr>
      <w:r>
        <w:rPr>
          <w:rFonts w:hint="eastAsia" w:eastAsia="宋体"/>
          <w:spacing w:val="2"/>
          <w:lang w:val="en-US" w:eastAsia="zh-CN"/>
        </w:rPr>
        <w:t xml:space="preserve">Cao Y, Ye F, Zhang L, </w:t>
      </w:r>
      <w:r>
        <w:rPr>
          <w:rFonts w:hint="eastAsia" w:eastAsia="宋体"/>
          <w:b/>
          <w:bCs/>
          <w:spacing w:val="2"/>
          <w:lang w:val="en-US" w:eastAsia="zh-CN"/>
        </w:rPr>
        <w:t>Qin C</w:t>
      </w:r>
      <w:r>
        <w:rPr>
          <w:spacing w:val="19"/>
        </w:rPr>
        <w:t xml:space="preserve"> </w:t>
      </w:r>
      <w:r>
        <w:rPr>
          <w:spacing w:val="-3"/>
        </w:rPr>
        <w:t>(correspondence</w:t>
      </w:r>
      <w:r>
        <w:t xml:space="preserve"> author)</w:t>
      </w:r>
      <w:r>
        <w:rPr>
          <w:rFonts w:hint="eastAsia" w:eastAsia="宋体"/>
          <w:spacing w:val="2"/>
          <w:lang w:val="en-US" w:eastAsia="zh-CN"/>
        </w:rPr>
        <w:t xml:space="preserve">. Dissecting Causal Relationships Between Dietary Habits and Diverse Subtypes of Stroke: Mendelian Randomization Study. </w:t>
      </w:r>
      <w:r>
        <w:rPr>
          <w:rFonts w:hint="eastAsia" w:eastAsia="宋体"/>
          <w:b/>
          <w:bCs/>
          <w:i/>
          <w:iCs/>
          <w:spacing w:val="2"/>
          <w:lang w:val="en-US" w:eastAsia="zh-CN"/>
        </w:rPr>
        <w:t>Nutrients</w:t>
      </w:r>
      <w:r>
        <w:rPr>
          <w:rFonts w:hint="eastAsia" w:eastAsia="宋体"/>
          <w:spacing w:val="2"/>
          <w:lang w:val="en-US" w:eastAsia="zh-CN"/>
        </w:rPr>
        <w:t xml:space="preserve">. 2024 Oct 19;16(20):3548. </w:t>
      </w:r>
    </w:p>
    <w:p w14:paraId="22F01069">
      <w:pPr>
        <w:pStyle w:val="2"/>
        <w:numPr>
          <w:ilvl w:val="0"/>
          <w:numId w:val="1"/>
        </w:numPr>
        <w:spacing w:before="247" w:line="360" w:lineRule="auto"/>
        <w:ind w:left="283" w:leftChars="0" w:hanging="283" w:firstLineChars="0"/>
      </w:pPr>
      <w:r>
        <w:rPr>
          <w:rFonts w:hint="eastAsia" w:eastAsia="宋体"/>
          <w:spacing w:val="2"/>
          <w:lang w:val="en-US" w:eastAsia="zh-CN"/>
        </w:rPr>
        <w:t xml:space="preserve">Zhang D, Zhang Y, Pan J, Cao J, Sun X, Li X, Zhang L, </w:t>
      </w:r>
      <w:r>
        <w:rPr>
          <w:rFonts w:hint="eastAsia" w:eastAsia="宋体"/>
          <w:b/>
          <w:bCs/>
          <w:spacing w:val="2"/>
          <w:lang w:val="en-US" w:eastAsia="zh-CN"/>
        </w:rPr>
        <w:t>Qin C</w:t>
      </w:r>
      <w:r>
        <w:rPr>
          <w:rFonts w:hint="eastAsia" w:eastAsia="宋体"/>
          <w:spacing w:val="2"/>
          <w:lang w:val="en-US" w:eastAsia="zh-CN"/>
        </w:rPr>
        <w:t xml:space="preserve"> (correspondence author). Degradation of NLRP3 by p62-dependent-autophagy improves cognitive function in Alzheimer's disease by maintaining the phagocytic function of microglia. </w:t>
      </w:r>
      <w:r>
        <w:rPr>
          <w:rFonts w:hint="eastAsia" w:eastAsia="宋体"/>
          <w:b/>
          <w:bCs/>
          <w:i/>
          <w:iCs/>
          <w:spacing w:val="2"/>
          <w:lang w:val="en-US" w:eastAsia="zh-CN"/>
        </w:rPr>
        <w:t>CNS Neurosci Ther</w:t>
      </w:r>
      <w:r>
        <w:rPr>
          <w:rFonts w:hint="eastAsia" w:eastAsia="宋体"/>
          <w:spacing w:val="2"/>
          <w:lang w:val="en-US" w:eastAsia="zh-CN"/>
        </w:rPr>
        <w:t>. 2023 Oct;29(10):2826-2842.</w:t>
      </w:r>
    </w:p>
    <w:sectPr>
      <w:pgSz w:w="11907" w:h="16839"/>
      <w:pgMar w:top="1431" w:right="1785" w:bottom="1429"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525635"/>
    <w:multiLevelType w:val="multilevel"/>
    <w:tmpl w:val="49525635"/>
    <w:lvl w:ilvl="0" w:tentative="0">
      <w:start w:val="1"/>
      <w:numFmt w:val="decimal"/>
      <w:suff w:val="space"/>
      <w:lvlText w:val="%1."/>
      <w:lvlJc w:val="left"/>
      <w:pPr>
        <w:ind w:left="283" w:leftChars="0" w:hanging="283" w:firstLineChars="0"/>
      </w:p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6330643"/>
    <w:rsid w:val="0B067A92"/>
    <w:rsid w:val="16543DA7"/>
    <w:rsid w:val="19B53078"/>
    <w:rsid w:val="2000527E"/>
    <w:rsid w:val="2BDD4C1E"/>
    <w:rsid w:val="35BF583C"/>
    <w:rsid w:val="484464A2"/>
    <w:rsid w:val="48F851AE"/>
    <w:rsid w:val="49F927E9"/>
    <w:rsid w:val="4CFD201C"/>
    <w:rsid w:val="65E56036"/>
    <w:rsid w:val="661977EE"/>
    <w:rsid w:val="73917CEE"/>
    <w:rsid w:val="78942409"/>
    <w:rsid w:val="791A48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Times New Roman" w:hAnsi="Times New Roman" w:eastAsia="Times New Roman" w:cs="Times New Roman"/>
      <w:sz w:val="24"/>
      <w:szCs w:val="24"/>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2131</Words>
  <Characters>10827</Characters>
  <TotalTime>6</TotalTime>
  <ScaleCrop>false</ScaleCrop>
  <LinksUpToDate>false</LinksUpToDate>
  <CharactersWithSpaces>12952</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2022-07-28T19:58:00Z</dcterms:created>
  <dc:creator>eclipse poseidon</dc:creator>
  <cp:lastModifiedBy>ring</cp:lastModifiedBy>
  <dcterms:modified xsi:type="dcterms:W3CDTF">2025-03-17T11:42:02Z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2025-03-11T12:03:30Z</vt:filetime>
  </property>
  <property fmtid="{D5CDD505-2E9C-101B-9397-08002B2CF9AE}" pid="4" name="KSOTemplateDocerSaveRecord">
    <vt:lpwstr>eyJoZGlkIjoiNGQ2OWExN2I2MjFkZjA3M2VhYTc1Njk5ZGQ5ZGViYzEiLCJ1c2VySWQiOiIzNzMzMzY1MzMifQ==</vt:lpwstr>
  </property>
  <property fmtid="{D5CDD505-2E9C-101B-9397-08002B2CF9AE}" pid="5" name="KSOProductBuildVer">
    <vt:lpwstr>2052-12.1.0.20305</vt:lpwstr>
  </property>
  <property fmtid="{D5CDD505-2E9C-101B-9397-08002B2CF9AE}" pid="6" name="ICV">
    <vt:lpwstr>CF3C832CE70F46BE9165D9170BC30EF7_13</vt:lpwstr>
  </property>
</Properties>
</file>